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D’ACTIVITÉ</w:t>
      </w:r>
    </w:p>
    <w:p>
      <w:pPr>
        <w:pStyle w:val="Heading1"/>
      </w:pPr>
      <w:r>
        <w:t>Forum national sur la gouvernance sanitaire inclusive au Bénin</w:t>
      </w:r>
    </w:p>
    <w:p>
      <w:pPr>
        <w:pStyle w:val="Heading2"/>
      </w:pPr>
      <w:r>
        <w:t>Initiative Women Voice for Health — WoPAs / ABPF</w:t>
      </w:r>
    </w:p>
    <w:p>
      <w:r>
        <w:t xml:space="preserve">Date : 9 octobre 2026  </w:t>
      </w:r>
    </w:p>
    <w:p>
      <w:r>
        <w:t xml:space="preserve">Lieu : Azalaï Hôtel, Cotonou, Bénin  </w:t>
      </w:r>
    </w:p>
    <w:p>
      <w:r>
        <w:t xml:space="preserve">Nature de l’activité : Forum national intersectoriel  </w:t>
      </w:r>
    </w:p>
    <w:p>
      <w:r>
        <w:t xml:space="preserve">Thématiques : gouvernance sanitaire inclusive, droits humains, genre, droits et santé sexuels et reproductifs (DSSR), violences basées sur le genre et qualité des soins.  </w:t>
      </w:r>
    </w:p>
    <w:p>
      <w:r>
        <w:t>Statut : rapport de participation consolidé, à valider avant diffusion institutionnelle.</w:t>
      </w:r>
    </w:p>
    <w:p>
      <w:pPr>
        <w:pStyle w:val="Heading1"/>
      </w:pPr>
      <w:r>
        <w:t>Note méthodologique</w:t>
      </w:r>
    </w:p>
    <w:p>
      <w:r>
        <w:t>Ce rapport est établi à partir des notes personnelles de participation, du texte complémentaire fourni et de la transcription d’une publication LinkedIn de Women and Power Association (WoPAs), transmise par la personne participante. Cette transcription a été envoyée deux fois à l’identique : elle est traitée comme une seule source. Elle apporte des précisions sur l’intitulé de la rencontre, les thèmes abordés, le partenariat de collaboration avec l’ABPF et les soutiens remerciés.</w:t>
      </w:r>
    </w:p>
    <w:p>
      <w:r>
        <w:t>La publication indique le « 09 octobre » et l’Azalaï Hôtel ; l’année 2026 et la localisation à Cotonou sont reprises des informations de participation. L’intitulé retenu reprend celui de la publication : « Forum national sur la gouvernance sanitaire inclusive au Bénin ». La dimension intersectorielle ressort des notes et de la diversité des structures citées.</w:t>
      </w:r>
    </w:p>
    <w:p>
      <w:r>
        <w:t>La présentation est thématique et ne reconstitue pas un programme horaire. Les recommandations constituent une synthèse rédactionnelle, sans présumer de leur adoption officielle. La transcription permet d’exploiter une publication ; elle ne donne pas accès au contenu des deux autres liens signalés.</w:t>
      </w:r>
    </w:p>
    <w:p>
      <w:pPr>
        <w:pStyle w:val="Heading1"/>
      </w:pPr>
      <w:r>
        <w:t>Résumé exécutif</w:t>
      </w:r>
    </w:p>
    <w:p>
      <w:r>
        <w:t>Le 9 octobre 2026, j’ai participé au Forum national sur la gouvernance sanitaire inclusive au Bénin, à l’Azalaï Hôtel de Cotonou. La rencontre est rattachée à Women Voice for Health, mentionné dans les éléments transmis et dans le mot-dièse de la publication de WoPAs. Dans son message de remerciement, WoPAs présente l’Association béninoise pour la promotion de la famille (ABPF) comme son partenaire de collaboration et remercie le Réseau Voix EssentiElles – Bénin ainsi que Speak Up Africa pour leur soutien.</w:t>
      </w:r>
    </w:p>
    <w:p>
      <w:r>
        <w:t>Les contenus documentés concernent quatre axes principaux : le contentieux stratégique comme levier de défense des droits ; l’intégration du genre et des DSSR dans la formation des professionnels de santé ; le parcours d’accompagnement des personnes survivantes de violences ; le respect des droits des patientes et l’amélioration de la qualité des soins. Les notes mentionnent également une séquence de sensibilisation à la santé mammaire.</w:t>
      </w:r>
    </w:p>
    <w:p>
      <w:r>
        <w:t>Les enseignements portent sur la complémentarité entre formation, plaidoyer, recours juridiques et coordination des services. Ils soulignent la nécessité de placer la dignité, l’écoute, la confidentialité, la sécurité et l’autonomie des personnes au centre des pratiques.</w:t>
      </w:r>
    </w:p>
    <w:p>
      <w:pPr>
        <w:pStyle w:val="Heading1"/>
      </w:pPr>
      <w:r>
        <w:t>1. Contexte et justification</w:t>
      </w:r>
    </w:p>
    <w:p>
      <w:r>
        <w:t>La gouvernance sanitaire inclusive constitue le fil conducteur des échanges rapportés. Elle a été abordée à travers l’accès aux droits, la qualité des relations entre soignants et patients et la capacité des différents services à apporter une réponse coordonnée aux besoins des populations, en particulier des femmes et des filles.</w:t>
      </w:r>
    </w:p>
    <w:p>
      <w:r>
        <w:t>La publication de WoPAs remercie les panélistes, intervenants, facilitateurs et participants pour leur contribution. Elle situe les échanges « du consentement et de l’autonomie des patientes jusqu’à la place du droit dans la gouvernance sanitaire » et exprime une conviction centrale : « une santé de qualité commence par le respect de la parole et du choix de chaque patiente ».</w:t>
      </w:r>
    </w:p>
    <w:p>
      <w:pPr>
        <w:pStyle w:val="Heading2"/>
      </w:pPr>
      <w:r>
        <w:t>1.1. Collaboration et soutiens</w:t>
      </w:r>
    </w:p>
    <w:p>
      <w:r>
        <w:t>WoPAs identifie l’ABPF comme partenaire de collaboration et remercie le Réseau Voix EssentiElles – Bénin (RVE – Bénin) et Speak Up Africa pour leur soutien. La nature de ce soutien — technique, financier ou autre — n’est pas précisée dans l’extrait et ne peut être déduite.</w:t>
      </w:r>
    </w:p>
    <w:p>
      <w:pPr>
        <w:pStyle w:val="Heading2"/>
      </w:pPr>
      <w:r>
        <w:t>1.2. Institutions, structures et dispositifs cités</w:t>
      </w:r>
    </w:p>
    <w:p>
      <w:r>
        <w:t>Dans ses remerciements aux institutions et structures présentes, WoPAs mentionne :</w:t>
      </w:r>
    </w:p>
    <w:p>
      <w:pPr>
        <w:pStyle w:val="ListBullet"/>
      </w:pPr>
      <w:r>
        <w:t>l’Association béninoise pour la promotion de la famille (ABPF) ;</w:t>
      </w:r>
    </w:p>
    <w:p>
      <w:pPr>
        <w:pStyle w:val="ListBullet"/>
      </w:pPr>
      <w:r>
        <w:t>l’Institut national de la femme – Bénin (INF-Bénin) et le ministère de la Santé du Bénin ;</w:t>
      </w:r>
    </w:p>
    <w:p>
      <w:pPr>
        <w:pStyle w:val="ListBullet"/>
      </w:pPr>
      <w:r>
        <w:t>les mentions MFAS, GUPS, SIDOFFE-NG, INMES, FSS et IRSP ;</w:t>
      </w:r>
    </w:p>
    <w:p>
      <w:pPr>
        <w:pStyle w:val="ListBullet"/>
      </w:pPr>
      <w:r>
        <w:t>MAJ, CALVIF, ROAJELF Bénin et GJFA ;</w:t>
      </w:r>
    </w:p>
    <w:p>
      <w:pPr>
        <w:pStyle w:val="ListBullet"/>
      </w:pPr>
      <w:r>
        <w:t>l’Agence nationale pour l’emploi (ANPE) ;</w:t>
      </w:r>
    </w:p>
    <w:p>
      <w:pPr>
        <w:pStyle w:val="ListBullet"/>
      </w:pPr>
      <w:r>
        <w:t>l’ONG Famille-Nutrition-Développement (FND) ;</w:t>
      </w:r>
    </w:p>
    <w:p>
      <w:pPr>
        <w:pStyle w:val="ListBullet"/>
      </w:pPr>
      <w:r>
        <w:t>ARS et Jeunes volontaires pour la santé (JVS) ;</w:t>
      </w:r>
    </w:p>
    <w:p>
      <w:pPr>
        <w:pStyle w:val="ListBullet"/>
      </w:pPr>
      <w:r>
        <w:t>les mentions OMS/Togo et Organisation mondiale de la santé ;</w:t>
      </w:r>
    </w:p>
    <w:p>
      <w:pPr>
        <w:pStyle w:val="ListBullet"/>
      </w:pPr>
      <w:r>
        <w:t>l’ONG Filles en Actions, Héroïne d’Aujourd’hui et SOPHAD ;</w:t>
      </w:r>
    </w:p>
    <w:p>
      <w:pPr>
        <w:pStyle w:val="ListBullet"/>
      </w:pPr>
      <w:r>
        <w:t>l’ONG New World, la Fondation Reine Hangbe et BWAA Research Laboratories ;</w:t>
      </w:r>
    </w:p>
    <w:p>
      <w:pPr>
        <w:pStyle w:val="ListBullet"/>
      </w:pPr>
      <w:r>
        <w:t>le Fonds des Nations unies pour la population (UNFPA), désigné dans le texte par son nom anglais ;</w:t>
      </w:r>
    </w:p>
    <w:p>
      <w:pPr>
        <w:pStyle w:val="ListBullet"/>
      </w:pPr>
      <w:r>
        <w:t>l’Association des blogueurs du Bénin et ACPB ;</w:t>
      </w:r>
    </w:p>
    <w:p>
      <w:pPr>
        <w:pStyle w:val="ListBullet"/>
      </w:pPr>
      <w:r>
        <w:t>l’équipe de Women and Power Association (WoPAs).</w:t>
      </w:r>
    </w:p>
    <w:p>
      <w:r>
        <w:t>Cette liste restitue les noms et sigles de la publication sans développer ceux dont l’intitulé n’y figure pas. Certaines mentions désignent des dispositifs ou des systèmes plutôt que des institutions autonomes. Elle ne constitue ni une liste d’émargement ni une preuve d’intervention de chaque structure ; aucun effectif de participation ne peut en être déduit.</w:t>
      </w:r>
    </w:p>
    <w:p>
      <w:r>
        <w:t>La diversité des acteurs cités illustre la dimension intersectorielle de la rencontre : santé, formation, protection sociale, droits des femmes, mobilisation associative et communication.</w:t>
      </w:r>
    </w:p>
    <w:p>
      <w:pPr>
        <w:pStyle w:val="Heading1"/>
      </w:pPr>
      <w:r>
        <w:t>2. Objectifs et axes de travail</w:t>
      </w:r>
    </w:p>
    <w:p>
      <w:r>
        <w:t>À partir des documents transmis, les axes poursuivis peuvent être synthétisés comme suit, sans les présenter comme le libellé officiel des objectifs :</w:t>
      </w:r>
    </w:p>
    <w:p>
      <w:pPr>
        <w:pStyle w:val="ListBullet"/>
      </w:pPr>
      <w:r>
        <w:t>renforcer la compréhension des droits humains et des DSSR ;</w:t>
      </w:r>
    </w:p>
    <w:p>
      <w:pPr>
        <w:pStyle w:val="ListBullet"/>
      </w:pPr>
      <w:r>
        <w:t>réfléchir à l’intégration du genre et des DSSR dans les écoles de formation en santé ;</w:t>
      </w:r>
    </w:p>
    <w:p>
      <w:pPr>
        <w:pStyle w:val="ListBullet"/>
      </w:pPr>
      <w:r>
        <w:t>promouvoir la dignité, l’information, le consentement éclairé et l’autonomie des patientes ;</w:t>
      </w:r>
    </w:p>
    <w:p>
      <w:pPr>
        <w:pStyle w:val="ListBullet"/>
      </w:pPr>
      <w:r>
        <w:t>examiner la complémentarité entre plaidoyer et contentieux stratégique ;</w:t>
      </w:r>
    </w:p>
    <w:p>
      <w:pPr>
        <w:pStyle w:val="ListBullet"/>
      </w:pPr>
      <w:r>
        <w:t>améliorer la coordination des réponses sanitaires, psychosociales, sécuritaires et judiciaires aux violences ;</w:t>
      </w:r>
    </w:p>
    <w:p>
      <w:pPr>
        <w:pStyle w:val="ListBullet"/>
      </w:pPr>
      <w:r>
        <w:t>favoriser une collaboration intersectorielle pour des services plus inclusifs et respectueux des personnes.</w:t>
      </w:r>
    </w:p>
    <w:p>
      <w:pPr>
        <w:pStyle w:val="Heading1"/>
      </w:pPr>
      <w:r>
        <w:t>3. Activités et principaux contenus</w:t>
      </w:r>
    </w:p>
    <w:p>
      <w:pPr>
        <w:pStyle w:val="Heading2"/>
      </w:pPr>
      <w:r>
        <w:t>3.1. Communication de Madame Christelle MINDAHO : le contentieux stratégique</w:t>
      </w:r>
    </w:p>
    <w:p>
      <w:r>
        <w:t>Les notes de participation attribuent à Madame Christelle MINDAHO une communication sur le contentieux stratégique. Sa fonction, son affiliation et l’orthographe de son nom devront être confirmées à partir du programme ou du support de présentation.</w:t>
      </w:r>
    </w:p>
    <w:p>
      <w:r>
        <w:t>La séance a permis de distinguer le traitement d’un différend individuel d’une démarche judiciaire recherchant une portée plus large. Le contentieux stratégique peut être compris comme le recours à une affaire pour contribuer, au-delà de la réparation individuelle, à une évolution des pratiques, de l’interprétation du droit ou de la protection d’autres personnes confrontées à des situations similaires. Cette portée au-delà du cas individuel correspond à la définition présentée par le Haut-Commissariat des Nations unies aux droits de l’homme. [1] https://www.ohchr.org/en/stories/2021/06/strategic-litigation-can-be-force-gender-justice</w:t>
      </w:r>
    </w:p>
    <w:p>
      <w:r>
        <w:t>Les formulations initiales évoquant une « solution favorable à tous » ou un accord des acteurs ne sont pas retenues comme définition juridique : le caractère stratégique du recours ne suppose pas un accord entre toutes les parties. Le bénéfice recherché est ici compris comme un effet collectif potentiel.</w:t>
      </w:r>
    </w:p>
    <w:p>
      <w:r>
        <w:t>Trois critères ont été relevés dans les notes :</w:t>
      </w:r>
    </w:p>
    <w:p>
      <w:r>
        <w:t>1. Le bénéfice partagé. Rechercher des effets utiles pour la personne concernée et, plus largement, pour d’autres personnes exposées à des violations comparables.</w:t>
      </w:r>
    </w:p>
    <w:p>
      <w:r>
        <w:t>2. La sélection des cas. Identifier les affaires pouvant porter une question de droits et contribuer à une évolution des pratiques.</w:t>
      </w:r>
    </w:p>
    <w:p>
      <w:r>
        <w:t>3. L’articulation avec le plaidoyer. Associer l’action judiciaire à une démarche de plaidoyer, en veillant à la sécurité de la victime et à la protection de son identité.</w:t>
      </w:r>
    </w:p>
    <w:p>
      <w:r>
        <w:t>La communication a également souligné, selon les notes, l’importance des textes juridiques applicables et des engagements internationaux ratifiés. La formule « les droits évoluent » traduit l’attention portée à leur reconnaissance et à leur application effective.</w:t>
      </w:r>
    </w:p>
    <w:p>
      <w:r>
        <w:t>Une architecture de protection « à trois niveaux » a été évoquée. Les notes ne permettent pas d’en restituer les trois composantes. Elles mentionnent un instrument universel et une charte africaine ; le texte complémentaire les désigne comme la Déclaration universelle des droits de l’homme et la Charte africaine des droits de l’homme et des peuples. Le support original reste nécessaire pour confirmer l’inventaire exact et le troisième niveau présenté. La Déclaration universelle n’est pas à présenter comme une convention ratifiée.</w:t>
      </w:r>
    </w:p>
    <w:p>
      <w:pPr>
        <w:pStyle w:val="Heading2"/>
      </w:pPr>
      <w:r>
        <w:t>3.2. Travaux de groupe : intégrer le genre et les DSSR dans les formations en santé</w:t>
      </w:r>
    </w:p>
    <w:p>
      <w:r>
        <w:t>Un travail de groupe a porté sur la formation des professionnels de santé et les possibilités d’intégration du genre et des DSSR dans les programmes des écoles de formation.</w:t>
      </w:r>
    </w:p>
    <w:p>
      <w:r>
        <w:t>Modules explicitement proposés dans les notes :</w:t>
      </w:r>
    </w:p>
    <w:p>
      <w:pPr>
        <w:pStyle w:val="ListBullet"/>
      </w:pPr>
      <w:r>
        <w:t>un cours sur les notions fondamentales de droits ;</w:t>
      </w:r>
    </w:p>
    <w:p>
      <w:pPr>
        <w:pStyle w:val="ListBullet"/>
      </w:pPr>
      <w:r>
        <w:t>un cours spécifique sur les droits en matière de santé sexuelle et reproductive.</w:t>
      </w:r>
    </w:p>
    <w:p>
      <w:r>
        <w:t>Le texte complémentaire propose aussi de renforcer les connaissances relatives au genre, au consentement, à la dignité et au respect des droits des patients. Ces contenus constituent des pistes d’approfondissement cohérentes avec le thème du groupe, mais ne sont pas tous explicitement détaillés dans les notes initiales.</w:t>
      </w:r>
    </w:p>
    <w:p>
      <w:r>
        <w:t>Stratégies d’intégration relevées :</w:t>
      </w:r>
    </w:p>
    <w:p>
      <w:pPr>
        <w:pStyle w:val="ListBullet"/>
      </w:pPr>
      <w:r>
        <w:t>établir un état des lieux de la place du genre et des DSSR dans les programmes existants ;</w:t>
      </w:r>
    </w:p>
    <w:p>
      <w:pPr>
        <w:pStyle w:val="ListBullet"/>
      </w:pPr>
      <w:r>
        <w:t>mener un plaidoyer en faveur de leur meilleure prise en compte ;</w:t>
      </w:r>
    </w:p>
    <w:p>
      <w:pPr>
        <w:pStyle w:val="ListBullet"/>
      </w:pPr>
      <w:r>
        <w:t>créer un cadre de réflexion et de concertation réunissant les acteurs concernés ;</w:t>
      </w:r>
    </w:p>
    <w:p>
      <w:pPr>
        <w:pStyle w:val="ListBullet"/>
      </w:pPr>
      <w:r>
        <w:t>examiner les curricula propres aux écoles ;</w:t>
      </w:r>
    </w:p>
    <w:p>
      <w:pPr>
        <w:pStyle w:val="ListBullet"/>
      </w:pPr>
      <w:r>
        <w:t>définir collectivement les modules à intégrer, en tenant compte des besoins et des programmes de chaque établissement.</w:t>
      </w:r>
    </w:p>
    <w:p>
      <w:r>
        <w:t>La démarche proposée associe ainsi diagnostic, concertation et adaptation pédagogique. Les éléments disponibles ne permettent pas de conclure que ces propositions ont été validées en plénière, intégrées dans les curricula ou assorties d’engagements institutionnels.</w:t>
      </w:r>
    </w:p>
    <w:p>
      <w:pPr>
        <w:pStyle w:val="Heading2"/>
      </w:pPr>
      <w:r>
        <w:t>3.3. Parcours de prise en charge des personnes survivantes de violences</w:t>
      </w:r>
    </w:p>
    <w:p>
      <w:r>
        <w:t>Les échanges consignés ont décrit plusieurs « portes » de prise en charge. Une personne survivante peut rechercher de l’aide auprès d’un acteur du dispositif, d’un proche ou d’une personne de confiance. L’enjeu central est de lui apporter une première réponse adaptée et de faciliter la continuité de son accompagnement.</w:t>
      </w:r>
    </w:p>
    <w:p>
      <w:r>
        <w:t>Les portes présentées ci-dessous ne constituent pas une succession obligatoire : l’ordre de mobilisation doit dépendre de la situation, des urgences et des besoins. Ce compte rendu n’est pas un protocole opérationnel de prise en charge.</w:t>
      </w:r>
    </w:p>
    <w:p>
      <w:r>
        <w:t>a) Accueil, écoute et sécurisation</w:t>
      </w:r>
    </w:p>
    <w:p>
      <w:r>
        <w:t>La première réponse consiste à écouter et à rassurer la personne dans un environnement respectueux de sa confidentialité. Les notes insistent sur la qualité de la présence de l’accueillant : paroles, expression du visage, gestes et posture.</w:t>
      </w:r>
    </w:p>
    <w:p>
      <w:r>
        <w:t>Elles mentionnent un entretien dans un espace fermé, sans personnes non concernées ni interruptions téléphoniques. L’objectif est de créer un climat de confiance et de permettre à la personne d’exprimer ses besoins sans jugement.</w:t>
      </w:r>
    </w:p>
    <w:p>
      <w:r>
        <w:t>b) Prise en charge sanitaire</w:t>
      </w:r>
    </w:p>
    <w:p>
      <w:r>
        <w:t>Selon la nature des violences et les besoins identifiés, l’orientation vers les services de santé vise à permettre les soins appropriés, l’évaluation de l’état de santé et le suivi. Un accompagnement psychologique peut également être nécessaire.</w:t>
      </w:r>
    </w:p>
    <w:p>
      <w:r>
        <w:t>c) Accompagnement psychosocial</w:t>
      </w:r>
    </w:p>
    <w:p>
      <w:r>
        <w:t>Cette dimension comprend une écoute attentive, une évaluation de la situation sociale et l’identification des formes d’appui nécessaires. Le suivi doit être adapté à chaque personne et à la nature des violences subies.</w:t>
      </w:r>
    </w:p>
    <w:p>
      <w:r>
        <w:t>Les notes citent les GUPS. Le texte complémentaire les développe comme « Guichets uniques de protection sociale » et les présente comme pouvant contribuer à l’évaluation des besoins et à l’orientation. Leur mandat précis et les services disponibles localement doivent être vérifiés avant toute utilisation pratique de ce circuit.</w:t>
      </w:r>
    </w:p>
    <w:p>
      <w:r>
        <w:t>d) Protection et sécurité</w:t>
      </w:r>
    </w:p>
    <w:p>
      <w:r>
        <w:t>Les notes évoquent le rôle du commissariat dans les suites données aux plaintes et les investigations. Le texte complémentaire souligne aussi la prise en compte des risques de nouvelles violences, des menaces et des représailles.</w:t>
      </w:r>
    </w:p>
    <w:p>
      <w:r>
        <w:t>Un passage initial concernant les violences faites aux hommes est incomplet. Il ne permet pas de déduire un circuit spécifique ni des règles particulières de procédure.</w:t>
      </w:r>
    </w:p>
    <w:p>
      <w:r>
        <w:t>e) Accompagnement juridique et judiciaire</w:t>
      </w:r>
    </w:p>
    <w:p>
      <w:r>
        <w:t>L’information sur les droits et les recours accessibles fait partie du parcours décrit. Les notes mentionnent la plainte, les investigations et l’intervention du procureur. Les éléments fournis ne suffisent pas à préciser les compétences procédurales, les obligations de signalement ou les modalités d’assistance applicables à chaque situation.</w:t>
      </w:r>
    </w:p>
    <w:p>
      <w:r>
        <w:t>f) Continuité du parcours et coordination</w:t>
      </w:r>
    </w:p>
    <w:p>
      <w:r>
        <w:t>Le principal point de vigilance relevé est le risque de rupture dans le suivi : lorsque le dossier n’est pas enregistré ou que les relais ne sont pas assurés, la personne peut devoir recommencer des démarches ou répéter son récit.</w:t>
      </w:r>
    </w:p>
    <w:p>
      <w:r>
        <w:t>L’enseignement tiré est la nécessité de mieux articuler les services de santé, les acteurs psychosociaux, les services de sécurité et les autorités judiciaires. La transmission des seules informations utiles doit s’accompagner d’une protection de la confidentialité et des données personnelles.</w:t>
      </w:r>
    </w:p>
    <w:p>
      <w:r>
        <w:t>À titre d’éclairage extérieur au forum, le manuel clinique de l’OMS identifie les besoins émotionnels et physiques immédiats, les besoins de sécurité et le soutien à plus long terme comme dimensions de la réponse aux violences. [2] https://www.who.int/publications/i/item/WHO-RHR-14.26</w:t>
      </w:r>
    </w:p>
    <w:p>
      <w:pPr>
        <w:pStyle w:val="Heading2"/>
      </w:pPr>
      <w:r>
        <w:t>3.4. Droits des patientes, consentement et qualité des soins</w:t>
      </w:r>
    </w:p>
    <w:p>
      <w:r>
        <w:t>La publication de WoPAs confirme que les échanges ont porté sur le consentement, l’autonomie des patientes et la place du droit dans la gouvernance sanitaire. Le respect de la parole et du choix de chaque patiente y est présenté comme le point de départ d’une santé de qualité.</w:t>
      </w:r>
    </w:p>
    <w:p>
      <w:r>
        <w:t>Ces orientations rejoignent les éléments du texte complémentaire relatifs à l’information, à la dignité et à la relation entre soignants et patients. La qualité des soins est ainsi envisagée au-delà de leur seule dimension technique, en lien avec la capacité à entendre la personne et à respecter ses choix.</w:t>
      </w:r>
    </w:p>
    <w:p>
      <w:r>
        <w:t>Le texte complémentaire mentionne également la confidentialité, la prévention des traitements humiliants, les violences obstétricales et gynécologiques et la protection des professionnels, notamment des sages-femmes. Ces précisions ne figurent pas dans la publication transcrite : elles restent attribuées au texte complémentaire et ne sont pas présentées comme des déclarations vérifiées de WoPAs.</w:t>
      </w:r>
    </w:p>
    <w:p>
      <w:r>
        <w:t>Aucune intervention nominative ni aucun engagement particulier de l’ARS ou d’une autre institution ne peut être reconstitué à partir de ce seul message de remerciement.</w:t>
      </w:r>
    </w:p>
    <w:p>
      <w:pPr>
        <w:pStyle w:val="Heading2"/>
      </w:pPr>
      <w:r>
        <w:t>3.5. Sensibilisation à la santé mammaire</w:t>
      </w:r>
    </w:p>
    <w:p>
      <w:r>
        <w:t>Les notes initiales mentionnent deux indications : « autopalpation une semaine après les menstrues » et « pas d’autopalpation quand on allaite ». Elles ne précisent ni leur contexte exact ni l’identité de la personne ayant animé cette séquence.</w:t>
      </w:r>
    </w:p>
    <w:p>
      <w:r>
        <w:t>Ces formulations sont conservées comme traces de prise de notes, et non comme recommandations médicales validées. Le calendrier et la consigne relative à l’allaitement doivent être clarifiés auprès d’un professionnel de santé ou à partir du support original avant diffusion. En particulier, la seconde phrase ne doit pas laisser croire qu’une anomalie mammaire pendant l’allaitement peut être ignorée.</w:t>
      </w:r>
    </w:p>
    <w:p>
      <w:r>
        <w:t>Le message sanitaire documenté à retenir est de consulter en présence d’une masse ou d’une modification inhabituelle du sein, même non douloureuse. L’OMS distingue la reconnaissance des signes, l’évaluation clinique et le dépistage : l’observation personnelle ne remplace pas un avis professionnel. [6] https://www.who.int/news-room/fact-sheets/detail/breast-cancer</w:t>
      </w:r>
    </w:p>
    <w:p>
      <w:pPr>
        <w:pStyle w:val="Heading1"/>
      </w:pPr>
      <w:r>
        <w:t>4. Principaux enseignements</w:t>
      </w:r>
    </w:p>
    <w:p>
      <w:r>
        <w:t>La participation au forum et la consolidation des éléments transmis permettent de dégager les enseignements suivants :</w:t>
      </w:r>
    </w:p>
    <w:p>
      <w:pPr>
        <w:pStyle w:val="ListBullet"/>
      </w:pPr>
      <w:r>
        <w:t>Relier la connaissance des droits aux pratiques professionnelles. La sensibilisation juridique doit pouvoir se traduire dans l’accueil, l’information, les soins et l’orientation.</w:t>
      </w:r>
    </w:p>
    <w:p>
      <w:pPr>
        <w:pStyle w:val="ListBullet"/>
      </w:pPr>
      <w:r>
        <w:t>Articuler plaidoyer et recours juridiques. Le contentieux stratégique peut être envisagé comme un levier complémentaire, dans le respect des intérêts et de la sécurité des personnes concernées.</w:t>
      </w:r>
    </w:p>
    <w:p>
      <w:pPr>
        <w:pStyle w:val="ListBullet"/>
      </w:pPr>
      <w:r>
        <w:t>Renforcer la formation initiale. L’intégration du genre et des DSSR mérite un travail concerté avec les écoles et les autorités compétentes.</w:t>
      </w:r>
    </w:p>
    <w:p>
      <w:pPr>
        <w:pStyle w:val="ListBullet"/>
      </w:pPr>
      <w:r>
        <w:t>Assurer une réponse globale aux violences. Les besoins sanitaires, psychosociaux, sécuritaires et judiciaires doivent être envisagés de manière coordonnée.</w:t>
      </w:r>
    </w:p>
    <w:p>
      <w:pPr>
        <w:pStyle w:val="ListBullet"/>
      </w:pPr>
      <w:r>
        <w:t>Prévenir les ruptures de parcours. Les relais entre services et la continuité des dossiers sont essentiels pour éviter les démarches répétitives.</w:t>
      </w:r>
    </w:p>
    <w:p>
      <w:pPr>
        <w:pStyle w:val="ListBullet"/>
      </w:pPr>
      <w:r>
        <w:t>Sécuriser les messages de sensibilisation. Les contenus médicaux et juridiques doivent être vérifiés avant leur réutilisation.</w:t>
      </w:r>
    </w:p>
    <w:p>
      <w:r>
        <w:t>Ces enseignements constituent une synthèse du rapport et non une mesure de l’impact du forum.</w:t>
      </w:r>
    </w:p>
    <w:p>
      <w:pPr>
        <w:pStyle w:val="Heading1"/>
      </w:pPr>
      <w:r>
        <w:t>5. Recommandations et perspectives de suivi</w:t>
      </w:r>
    </w:p>
    <w:p>
      <w:r>
        <w:t>Les recommandations suivantes sont formulées à partir des observations et du texte complémentaire ; elles ne sont pas présentées comme des résolutions officiellement adoptées.</w:t>
      </w:r>
    </w:p>
    <w:p>
      <w:r>
        <w:t>1. Renforcer la formation sur les droits, le genre et les DSSR, en examinant les possibilités d’intégration dans les curricula des écoles de santé.</w:t>
      </w:r>
    </w:p>
    <w:p>
      <w:r>
        <w:t>2. Réaliser un état des lieux des enseignements existants, puis organiser une concertation associant établissements, autorités de tutelle, professionnels et organisations de la société civile.</w:t>
      </w:r>
    </w:p>
    <w:p>
      <w:r>
        <w:t>3. Approfondir le recours au contentieux stratégique, en portant une attention particulière à la sélection des cas, à la portée collective recherchée et à la protection des personnes.</w:t>
      </w:r>
    </w:p>
    <w:p>
      <w:r>
        <w:t>4. Améliorer l’accueil des survivantes et survivants, en favorisant l’écoute, la confidentialité, l’évaluation des besoins et la sécurisation.</w:t>
      </w:r>
    </w:p>
    <w:p>
      <w:r>
        <w:t>5. Formaliser les relais intersectoriels, à travers un annuaire vérifié et un schéma d’orientation validé par les services compétents.</w:t>
      </w:r>
    </w:p>
    <w:p>
      <w:r>
        <w:t>6. Assurer la continuité de l’accompagnement, avec des modalités de référencement et de transmission sécurisée des informations utiles.</w:t>
      </w:r>
    </w:p>
    <w:p>
      <w:r>
        <w:t>7. Promouvoir des relations de soins respectueuses, fondées sur l’information, la dignité, le consentement et la prévention des violences.</w:t>
      </w:r>
    </w:p>
    <w:p>
      <w:r>
        <w:t>8. Faire valider les messages de santé mammaire, notamment ceux relatifs à l’autopalpation et à l’allaitement.</w:t>
      </w:r>
    </w:p>
    <w:p>
      <w:r>
        <w:t>9. Documenter les suites du forum, en réunissant les supports, les restitutions de groupes et les éventuels engagements adoptés.</w:t>
      </w:r>
    </w:p>
    <w:p>
      <w:pPr>
        <w:pStyle w:val="Heading1"/>
      </w:pPr>
      <w:r>
        <w:t>6. Conclusion</w:t>
      </w:r>
    </w:p>
    <w:p>
      <w:r>
        <w:t>Le Forum national intersectoriel sur la gouvernance inclusive au Bénin a offert, d’après les éléments de participation réunis, un espace de réflexion sur la protection des droits, la formation des professionnels de santé et l’accompagnement des personnes victimes de violences.</w:t>
      </w:r>
    </w:p>
    <w:p>
      <w:r>
        <w:t>La communication sur le contentieux stratégique, les propositions de formation et la présentation des différentes portes de prise en charge montrent la complémentarité des réponses juridiques, sanitaires, sociales et institutionnelles. Le texte complémentaire met également l’accent sur le consentement, l’autonomie des patientes et la qualité de la relation de soins.</w:t>
      </w:r>
    </w:p>
    <w:p>
      <w:r>
        <w:t>La perspective qui se dégage est celle d’une collaboration durable entre les institutions publiques, les établissements de formation, les professionnels et la société civile. Sa concrétisation suppose de transformer les pistes de réflexion en actions concertées, suivies et documentées, tout en maintenant la dignité et la sécurité des personnes au centre des interventions.</w:t>
      </w:r>
    </w:p>
    <w:p>
      <w:pPr>
        <w:pStyle w:val="Heading1"/>
      </w:pPr>
      <w:r>
        <w:t>Annexe — Sources et limites documentaires</w:t>
      </w:r>
    </w:p>
    <w:p>
      <w:pPr>
        <w:pStyle w:val="Heading2"/>
      </w:pPr>
      <w:r>
        <w:t>A. Sources de rédaction</w:t>
      </w:r>
    </w:p>
    <w:p>
      <w:r>
        <w:t>1. Notes personnelles de participation, fournies par la personne participante : communication sur le contentieux stratégique, travail de groupe, parcours des survivantes et sensibilisation à la santé mammaire.</w:t>
      </w:r>
    </w:p>
    <w:p>
      <w:r>
        <w:t>2. Texte complémentaire transmis : contexte, synthèse des objectifs, droits des patientes et propositions de recommandations.</w:t>
      </w:r>
    </w:p>
    <w:p>
      <w:r>
        <w:t>3. Transcription d’une publication LinkedIn de WoPAs, commençant par « Merci à toutes et à tous ! ». Le texte confirme le jour et le mois, le lieu, l’intitulé, les axes consentement/autonomie/droit, le partenariat ABPF et les remerciements. Transmis deux fois à l’identique, il n’est compté qu’une fois. La date relative « 5 j. » et la mention « Modifié » ne permettent pas de fixer une date absolue de publication. Les compteurs d’abonnés, de réactions et de commentaires ne mesurent pas la participation au forum.</w:t>
      </w:r>
    </w:p>
    <w:p>
      <w:r>
        <w:t>4. Ressources techniques extérieures : HCDH sur le contentieux stratégique et OMS sur la prise en charge des violences et la santé mammaire, citées dans le corps du texte. Leur utilisation durant le forum n’est pas présumée.</w:t>
      </w:r>
    </w:p>
    <w:p>
      <w:pPr>
        <w:pStyle w:val="Heading2"/>
      </w:pPr>
      <w:r>
        <w:t>B. Liens LinkedIn communiqués</w:t>
      </w:r>
    </w:p>
    <w:p>
      <w:r>
        <w:t>La personne participante avait signalé les trois liens suivants. Le texte transcrit n’a pas été explicitement associé à un lien unique ; il n’est donc pas attribué arbitrairement à l’une de ces adresses. Le contenu distinct des autres publications reste à obtenir.</w:t>
      </w:r>
    </w:p>
    <w:p>
      <w:pPr>
        <w:pStyle w:val="ListBullet"/>
      </w:pPr>
      <w:r>
        <w:t>https://fr.linkedin.com/posts/womenandpowerassociation_ars-womenvoiceforhealth-gouvernancesanitaireinclusive-activity-7517866595088506880-jjUx</w:t>
      </w:r>
    </w:p>
    <w:p>
      <w:pPr>
        <w:pStyle w:val="ListBullet"/>
      </w:pPr>
      <w:r>
        <w:t>https://fr.linkedin.com/posts/womenandpowerassociation_mfas-gups-sidoffe-activity-7516134167294881792-dj4q</w:t>
      </w:r>
    </w:p>
    <w:p>
      <w:pPr>
        <w:pStyle w:val="ListBullet"/>
      </w:pPr>
      <w:r>
        <w:t>https://fr.linkedin.com/posts/womenandpowerassociation_womenvoiceforhealth-gouvernancesanitaireinclusive-activity-7514310490995474433-qHT-</w:t>
      </w:r>
    </w:p>
    <w:p>
      <w:pPr>
        <w:pStyle w:val="Heading2"/>
      </w:pPr>
      <w:r>
        <w:t>C. Pièces utiles pour une validation finale</w:t>
      </w:r>
    </w:p>
    <w:p>
      <w:pPr>
        <w:pStyle w:val="ListBullet"/>
      </w:pPr>
      <w:r>
        <w:t>Programme détaillé et liste des intervenants, avec confirmation du nom et de la fonction de Madame Christelle MINDAHO.</w:t>
      </w:r>
    </w:p>
    <w:p>
      <w:pPr>
        <w:pStyle w:val="ListBullet"/>
      </w:pPr>
      <w:r>
        <w:t>Supports de présentation et restitutions des autres groupes.</w:t>
      </w:r>
    </w:p>
    <w:p>
      <w:pPr>
        <w:pStyle w:val="ListBullet"/>
      </w:pPr>
      <w:r>
        <w:t>Textes intégraux des autres publications signalées.</w:t>
      </w:r>
    </w:p>
    <w:p>
      <w:pPr>
        <w:pStyle w:val="ListBullet"/>
      </w:pPr>
      <w:r>
        <w:t>Précisions sur les rôles institutionnels et les éventuels engagements adoptés.</w:t>
      </w:r>
    </w:p>
    <w:p>
      <w:pPr>
        <w:pStyle w:val="ListBullet"/>
      </w:pPr>
      <w:r>
        <w:t>Validation du circuit local d’orientation des personnes survivantes.</w:t>
      </w:r>
    </w:p>
    <w:p>
      <w:pPr>
        <w:pStyle w:val="ListBullet"/>
      </w:pPr>
      <w:r>
        <w:t>Validation médicale des messages relatifs à l’autopalpation et à l’allaitement.</w:t>
      </w:r>
    </w:p>
    <w:p>
      <w:r>
        <w:t>Portée du rapport : la publication transcrite complète désormais les notes de participation sur plusieurs faits essentiels. Elle ne fournit cependant ni le programme exhaustif, ni les verbatim des communications, ni une liste de résolutions adoptées.</w:t>
      </w:r>
    </w:p>
    <w:sectPr w:rsidR="00FC693F" w:rsidRPr="0006063C" w:rsidSect="00034616">
      <w:headerReference w:type="default" r:id="rId9"/>
      <w:footerReference w:type="default" r:id="rId10"/>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Version enrichie • Notes de participation et publication WoPAs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WOMEN VOICE FOR HEALTH • RAPPORT DU FORUM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4B6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B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4B6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