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65D"/>
          <w:sz w:val="32"/>
        </w:rPr>
        <w:t>PLAN OPÉRATIONNEL CLIN / PCI CHUMEL 2026-2027</w:t>
        <w:br/>
      </w:r>
      <w:r>
        <w:rPr>
          <w:rFonts w:ascii="Calibri" w:hAnsi="Calibri"/>
          <w:i/>
          <w:color w:val="505050"/>
          <w:sz w:val="22"/>
        </w:rPr>
        <w:t>Planification détaillée d'exécution avec Périodes Exactes et Chronogramme Mensuel d'Exécution</w:t>
        <w:br/>
        <w:t>Période couverte : Octobre 2026 – Septembre 2027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rPr>
          <w:cantSplit/>
          <w:tblHeader/>
        </w:trPr>
        <w:tc>
          <w:tcPr>
            <w:tcW w:type="dxa" w:w="576"/>
            <w:shd w:fill="1B365D"/>
            <w:tcMar>
              <w:top w:w="100" w:type="dxa"/>
              <w:bottom w:w="100" w:type="dxa"/>
              <w:left w:w="40" w:type="dxa"/>
              <w:right w:w="40" w:type="dxa"/>
            </w:tcMar>
            <w:tcBorders>
              <single w:val="single" w:sz="4" w:space="0" w:color="0F203C"/>
              <single w:val="single" w:sz="4" w:space="0" w:color="0F203C"/>
              <single w:val="single" w:sz="4" w:space="0" w:color="0F203C"/>
              <single w:val="single" w:sz="4" w:space="0" w:color="0F203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N°</w:t>
            </w:r>
          </w:p>
        </w:tc>
        <w:tc>
          <w:tcPr>
            <w:tcW w:type="dxa" w:w="4608"/>
            <w:shd w:fill="1B365D"/>
            <w:tcMar>
              <w:top w:w="100" w:type="dxa"/>
              <w:bottom w:w="100" w:type="dxa"/>
              <w:left w:w="40" w:type="dxa"/>
              <w:right w:w="40" w:type="dxa"/>
            </w:tcMar>
            <w:tcBorders>
              <single w:val="single" w:sz="4" w:space="0" w:color="0F203C"/>
              <single w:val="single" w:sz="4" w:space="0" w:color="0F203C"/>
              <single w:val="single" w:sz="4" w:space="0" w:color="0F203C"/>
              <single w:val="single" w:sz="4" w:space="0" w:color="0F203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Activité Opérationnelle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40" w:type="dxa"/>
              <w:right w:w="40" w:type="dxa"/>
            </w:tcMar>
            <w:tcBorders>
              <single w:val="single" w:sz="4" w:space="0" w:color="0F203C"/>
              <single w:val="single" w:sz="4" w:space="0" w:color="0F203C"/>
              <single w:val="single" w:sz="4" w:space="0" w:color="0F203C"/>
              <single w:val="single" w:sz="4" w:space="0" w:color="0F203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Responsable</w:t>
            </w:r>
          </w:p>
        </w:tc>
        <w:tc>
          <w:tcPr>
            <w:tcW w:type="dxa" w:w="2016"/>
            <w:shd w:fill="1B365D"/>
            <w:tcMar>
              <w:top w:w="100" w:type="dxa"/>
              <w:bottom w:w="100" w:type="dxa"/>
              <w:left w:w="40" w:type="dxa"/>
              <w:right w:w="40" w:type="dxa"/>
            </w:tcMar>
            <w:tcBorders>
              <single w:val="single" w:sz="4" w:space="0" w:color="0F203C"/>
              <single w:val="single" w:sz="4" w:space="0" w:color="0F203C"/>
              <single w:val="single" w:sz="4" w:space="0" w:color="0F203C"/>
              <single w:val="single" w:sz="4" w:space="0" w:color="0F203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Période exacte</w:t>
            </w:r>
          </w:p>
        </w:tc>
        <w:tc>
          <w:tcPr>
            <w:tcW w:type="dxa" w:w="346"/>
            <w:shd w:fill="1B365D"/>
            <w:tcMar>
              <w:top w:w="100" w:type="dxa"/>
              <w:bottom w:w="100" w:type="dxa"/>
              <w:left w:w="40" w:type="dxa"/>
              <w:right w:w="40" w:type="dxa"/>
            </w:tcMar>
            <w:tcBorders>
              <single w:val="single" w:sz="4" w:space="0" w:color="0F203C"/>
              <single w:val="single" w:sz="4" w:space="0" w:color="0F203C"/>
              <single w:val="single" w:sz="4" w:space="0" w:color="0F203C"/>
              <single w:val="single" w:sz="4" w:space="0" w:color="0F203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O</w:t>
            </w:r>
          </w:p>
        </w:tc>
        <w:tc>
          <w:tcPr>
            <w:tcW w:type="dxa" w:w="346"/>
            <w:shd w:fill="1B365D"/>
            <w:tcMar>
              <w:top w:w="100" w:type="dxa"/>
              <w:bottom w:w="100" w:type="dxa"/>
              <w:left w:w="40" w:type="dxa"/>
              <w:right w:w="40" w:type="dxa"/>
            </w:tcMar>
            <w:tcBorders>
              <single w:val="single" w:sz="4" w:space="0" w:color="0F203C"/>
              <single w:val="single" w:sz="4" w:space="0" w:color="0F203C"/>
              <single w:val="single" w:sz="4" w:space="0" w:color="0F203C"/>
              <single w:val="single" w:sz="4" w:space="0" w:color="0F203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N</w:t>
            </w:r>
          </w:p>
        </w:tc>
        <w:tc>
          <w:tcPr>
            <w:tcW w:type="dxa" w:w="346"/>
            <w:shd w:fill="1B365D"/>
            <w:tcMar>
              <w:top w:w="100" w:type="dxa"/>
              <w:bottom w:w="100" w:type="dxa"/>
              <w:left w:w="40" w:type="dxa"/>
              <w:right w:w="40" w:type="dxa"/>
            </w:tcMar>
            <w:tcBorders>
              <single w:val="single" w:sz="4" w:space="0" w:color="0F203C"/>
              <single w:val="single" w:sz="4" w:space="0" w:color="0F203C"/>
              <single w:val="single" w:sz="4" w:space="0" w:color="0F203C"/>
              <single w:val="single" w:sz="4" w:space="0" w:color="0F203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</w:t>
            </w:r>
          </w:p>
        </w:tc>
        <w:tc>
          <w:tcPr>
            <w:tcW w:type="dxa" w:w="346"/>
            <w:shd w:fill="1B365D"/>
            <w:tcMar>
              <w:top w:w="100" w:type="dxa"/>
              <w:bottom w:w="100" w:type="dxa"/>
              <w:left w:w="40" w:type="dxa"/>
              <w:right w:w="40" w:type="dxa"/>
            </w:tcMar>
            <w:tcBorders>
              <single w:val="single" w:sz="4" w:space="0" w:color="0F203C"/>
              <single w:val="single" w:sz="4" w:space="0" w:color="0F203C"/>
              <single w:val="single" w:sz="4" w:space="0" w:color="0F203C"/>
              <single w:val="single" w:sz="4" w:space="0" w:color="0F203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J</w:t>
            </w:r>
          </w:p>
        </w:tc>
        <w:tc>
          <w:tcPr>
            <w:tcW w:type="dxa" w:w="346"/>
            <w:shd w:fill="1B365D"/>
            <w:tcMar>
              <w:top w:w="100" w:type="dxa"/>
              <w:bottom w:w="100" w:type="dxa"/>
              <w:left w:w="40" w:type="dxa"/>
              <w:right w:w="40" w:type="dxa"/>
            </w:tcMar>
            <w:tcBorders>
              <single w:val="single" w:sz="4" w:space="0" w:color="0F203C"/>
              <single w:val="single" w:sz="4" w:space="0" w:color="0F203C"/>
              <single w:val="single" w:sz="4" w:space="0" w:color="0F203C"/>
              <single w:val="single" w:sz="4" w:space="0" w:color="0F203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</w:t>
            </w:r>
          </w:p>
        </w:tc>
        <w:tc>
          <w:tcPr>
            <w:tcW w:type="dxa" w:w="346"/>
            <w:shd w:fill="1B365D"/>
            <w:tcMar>
              <w:top w:w="100" w:type="dxa"/>
              <w:bottom w:w="100" w:type="dxa"/>
              <w:left w:w="40" w:type="dxa"/>
              <w:right w:w="40" w:type="dxa"/>
            </w:tcMar>
            <w:tcBorders>
              <single w:val="single" w:sz="4" w:space="0" w:color="0F203C"/>
              <single w:val="single" w:sz="4" w:space="0" w:color="0F203C"/>
              <single w:val="single" w:sz="4" w:space="0" w:color="0F203C"/>
              <single w:val="single" w:sz="4" w:space="0" w:color="0F203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</w:t>
            </w:r>
          </w:p>
        </w:tc>
        <w:tc>
          <w:tcPr>
            <w:tcW w:type="dxa" w:w="346"/>
            <w:shd w:fill="1B365D"/>
            <w:tcMar>
              <w:top w:w="100" w:type="dxa"/>
              <w:bottom w:w="100" w:type="dxa"/>
              <w:left w:w="40" w:type="dxa"/>
              <w:right w:w="40" w:type="dxa"/>
            </w:tcMar>
            <w:tcBorders>
              <single w:val="single" w:sz="4" w:space="0" w:color="0F203C"/>
              <single w:val="single" w:sz="4" w:space="0" w:color="0F203C"/>
              <single w:val="single" w:sz="4" w:space="0" w:color="0F203C"/>
              <single w:val="single" w:sz="4" w:space="0" w:color="0F203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</w:t>
            </w:r>
          </w:p>
        </w:tc>
        <w:tc>
          <w:tcPr>
            <w:tcW w:type="dxa" w:w="346"/>
            <w:shd w:fill="1B365D"/>
            <w:tcMar>
              <w:top w:w="100" w:type="dxa"/>
              <w:bottom w:w="100" w:type="dxa"/>
              <w:left w:w="40" w:type="dxa"/>
              <w:right w:w="40" w:type="dxa"/>
            </w:tcMar>
            <w:tcBorders>
              <single w:val="single" w:sz="4" w:space="0" w:color="0F203C"/>
              <single w:val="single" w:sz="4" w:space="0" w:color="0F203C"/>
              <single w:val="single" w:sz="4" w:space="0" w:color="0F203C"/>
              <single w:val="single" w:sz="4" w:space="0" w:color="0F203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</w:t>
            </w:r>
          </w:p>
        </w:tc>
        <w:tc>
          <w:tcPr>
            <w:tcW w:type="dxa" w:w="346"/>
            <w:shd w:fill="1B365D"/>
            <w:tcMar>
              <w:top w:w="100" w:type="dxa"/>
              <w:bottom w:w="100" w:type="dxa"/>
              <w:left w:w="40" w:type="dxa"/>
              <w:right w:w="40" w:type="dxa"/>
            </w:tcMar>
            <w:tcBorders>
              <single w:val="single" w:sz="4" w:space="0" w:color="0F203C"/>
              <single w:val="single" w:sz="4" w:space="0" w:color="0F203C"/>
              <single w:val="single" w:sz="4" w:space="0" w:color="0F203C"/>
              <single w:val="single" w:sz="4" w:space="0" w:color="0F203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J</w:t>
            </w:r>
          </w:p>
        </w:tc>
        <w:tc>
          <w:tcPr>
            <w:tcW w:type="dxa" w:w="346"/>
            <w:shd w:fill="1B365D"/>
            <w:tcMar>
              <w:top w:w="100" w:type="dxa"/>
              <w:bottom w:w="100" w:type="dxa"/>
              <w:left w:w="40" w:type="dxa"/>
              <w:right w:w="40" w:type="dxa"/>
            </w:tcMar>
            <w:tcBorders>
              <single w:val="single" w:sz="4" w:space="0" w:color="0F203C"/>
              <single w:val="single" w:sz="4" w:space="0" w:color="0F203C"/>
              <single w:val="single" w:sz="4" w:space="0" w:color="0F203C"/>
              <single w:val="single" w:sz="4" w:space="0" w:color="0F203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J</w:t>
            </w:r>
          </w:p>
        </w:tc>
        <w:tc>
          <w:tcPr>
            <w:tcW w:type="dxa" w:w="346"/>
            <w:shd w:fill="1B365D"/>
            <w:tcMar>
              <w:top w:w="100" w:type="dxa"/>
              <w:bottom w:w="100" w:type="dxa"/>
              <w:left w:w="40" w:type="dxa"/>
              <w:right w:w="40" w:type="dxa"/>
            </w:tcMar>
            <w:tcBorders>
              <single w:val="single" w:sz="4" w:space="0" w:color="0F203C"/>
              <single w:val="single" w:sz="4" w:space="0" w:color="0F203C"/>
              <single w:val="single" w:sz="4" w:space="0" w:color="0F203C"/>
              <single w:val="single" w:sz="4" w:space="0" w:color="0F203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</w:t>
            </w:r>
          </w:p>
        </w:tc>
        <w:tc>
          <w:tcPr>
            <w:tcW w:type="dxa" w:w="346"/>
            <w:shd w:fill="1B365D"/>
            <w:tcMar>
              <w:top w:w="100" w:type="dxa"/>
              <w:bottom w:w="100" w:type="dxa"/>
              <w:left w:w="40" w:type="dxa"/>
              <w:right w:w="40" w:type="dxa"/>
            </w:tcMar>
            <w:tcBorders>
              <single w:val="single" w:sz="4" w:space="0" w:color="0F203C"/>
              <single w:val="single" w:sz="4" w:space="0" w:color="0F203C"/>
              <single w:val="single" w:sz="4" w:space="0" w:color="0F203C"/>
              <single w:val="single" w:sz="4" w:space="0" w:color="0F203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</w:t>
            </w:r>
          </w:p>
        </w:tc>
        <w:tc>
          <w:tcPr>
            <w:tcW w:type="dxa" w:w="2592"/>
            <w:shd w:fill="1B365D"/>
            <w:tcMar>
              <w:top w:w="100" w:type="dxa"/>
              <w:bottom w:w="100" w:type="dxa"/>
              <w:left w:w="40" w:type="dxa"/>
              <w:right w:w="40" w:type="dxa"/>
            </w:tcMar>
            <w:tcBorders>
              <single w:val="single" w:sz="4" w:space="0" w:color="0F203C"/>
              <single w:val="single" w:sz="4" w:space="0" w:color="0F203C"/>
              <single w:val="single" w:sz="4" w:space="0" w:color="0F203C"/>
              <single w:val="single" w:sz="4" w:space="0" w:color="0F203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Livrable Opérationnel Attendu</w:t>
            </w:r>
          </w:p>
        </w:tc>
      </w:tr>
      <w:tr>
        <w:trPr>
          <w:cantSplit/>
        </w:trPr>
        <w:tc>
          <w:tcPr>
            <w:tcW w:type="dxa" w:w="57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4608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1.1.1 Rédiger le cahier de charge de l’Équipe Opérationnelle de PCI (EOPCI)</w:t>
            </w:r>
          </w:p>
        </w:tc>
        <w:tc>
          <w:tcPr>
            <w:tcW w:type="dxa" w:w="187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Point focal PCI / EOPCI / DG</w:t>
            </w:r>
          </w:p>
        </w:tc>
        <w:tc>
          <w:tcPr>
            <w:tcW w:type="dxa" w:w="201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Septembre 2026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259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Cahier des charges rédigé, validé et archivé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1.1.2. Restructurer l’Équipe Opérationnelle de PCI (EOPCI)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DG / Point focal PCI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Octobre 2026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Note de service portant restructuration de l'EOPCI signée</w:t>
            </w:r>
          </w:p>
        </w:tc>
      </w:tr>
      <w:tr>
        <w:trPr>
          <w:cantSplit/>
        </w:trPr>
        <w:tc>
          <w:tcPr>
            <w:tcW w:type="dxa" w:w="57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4608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1.1.3. Renouveler la note de service portant nomination du Point focal PCI</w:t>
            </w:r>
          </w:p>
        </w:tc>
        <w:tc>
          <w:tcPr>
            <w:tcW w:type="dxa" w:w="187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DG / Point focal PCI</w:t>
            </w:r>
          </w:p>
        </w:tc>
        <w:tc>
          <w:tcPr>
            <w:tcW w:type="dxa" w:w="201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Octobre 2026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259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Note de service de reconduction signée par la DG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1.1.4. Restructurer le Comité de Lutte contre les Infections Nosocomiales (CLIN)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DG / CLIN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Octobre 2026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Note de service portant composition actualisée du CLIN signée</w:t>
            </w:r>
          </w:p>
        </w:tc>
      </w:tr>
      <w:tr>
        <w:trPr>
          <w:cantSplit/>
        </w:trPr>
        <w:tc>
          <w:tcPr>
            <w:tcW w:type="dxa" w:w="57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4608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1.1.5. Nommer l’équipe des formateurs internes en PCI du CHUMEL</w:t>
            </w:r>
          </w:p>
        </w:tc>
        <w:tc>
          <w:tcPr>
            <w:tcW w:type="dxa" w:w="187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DG / Point focal PCI / EOPCI</w:t>
            </w:r>
          </w:p>
        </w:tc>
        <w:tc>
          <w:tcPr>
            <w:tcW w:type="dxa" w:w="201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Octobre 2026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259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Note de service désignant les formateurs internes en PCI disponible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1.1.6. Nommer les points focaux IAS-PCI (binôme soignant et technicien d'hygiène par service)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EOPCI / DG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Octobre 2026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Note de service désignant les binômes de points focaux dans 100% des services</w:t>
            </w:r>
          </w:p>
        </w:tc>
      </w:tr>
      <w:tr>
        <w:trPr>
          <w:cantSplit/>
        </w:trPr>
        <w:tc>
          <w:tcPr>
            <w:tcW w:type="dxa" w:w="57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4608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Solliciter une expertise externe pour accompagner le CLIN/PCI</w:t>
            </w:r>
          </w:p>
        </w:tc>
        <w:tc>
          <w:tcPr>
            <w:tcW w:type="dxa" w:w="187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DG / CLIN / EOPCI</w:t>
            </w:r>
          </w:p>
        </w:tc>
        <w:tc>
          <w:tcPr>
            <w:tcW w:type="dxa" w:w="201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Février 2027</w:t>
            </w:r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259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1 mission d'expertise externe réalisée avec rapport d'évaluation et recommandations stratégiques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1.2.1. Organiser les réunions hebdomadaires de l’équipe opérationnelle de PCI (EOPCI)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Point focal / EOPCI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Hebdomadaire (Oct. 2026 - Sept. 2027)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48 à 52 comptes-rendus de réunions hebdomadaires disponibles</w:t>
            </w:r>
          </w:p>
        </w:tc>
      </w:tr>
      <w:tr>
        <w:trPr>
          <w:cantSplit/>
        </w:trPr>
        <w:tc>
          <w:tcPr>
            <w:tcW w:type="dxa" w:w="57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9</w:t>
            </w:r>
          </w:p>
        </w:tc>
        <w:tc>
          <w:tcPr>
            <w:tcW w:type="dxa" w:w="4608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1.2.2. Organiser les réunions trimestrielles du Comité de Lutte contre les Infections Nosocomiales (CLIN)</w:t>
            </w:r>
          </w:p>
        </w:tc>
        <w:tc>
          <w:tcPr>
            <w:tcW w:type="dxa" w:w="187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Président CLIN / Point focal PCI</w:t>
            </w:r>
          </w:p>
        </w:tc>
        <w:tc>
          <w:tcPr>
            <w:tcW w:type="dxa" w:w="201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Trimestriel (Déc. 2026, Mars, Juin, Sept. 2027)</w:t>
            </w:r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259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4 sessions statutaires du CLIN tenues avec PV de délibération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10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1.2.3. Assurer le suivi rapproché de la mise en œuvre des décisions du CLIN et de l'EOPCI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EOPCI / DAF / Direction des Soins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Continu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Tableau de bord trimestriel de suivi des recommandations renseigné à 100%</w:t>
            </w:r>
          </w:p>
        </w:tc>
      </w:tr>
      <w:tr>
        <w:trPr>
          <w:cantSplit/>
        </w:trPr>
        <w:tc>
          <w:tcPr>
            <w:tcW w:type="dxa" w:w="57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11</w:t>
            </w:r>
          </w:p>
        </w:tc>
        <w:tc>
          <w:tcPr>
            <w:tcW w:type="dxa" w:w="4608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1.2.4. Élaborer le Plan de Travail Annuel (PTA) et le budget PCI</w:t>
            </w:r>
          </w:p>
        </w:tc>
        <w:tc>
          <w:tcPr>
            <w:tcW w:type="dxa" w:w="187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Point focal / EOPCI</w:t>
            </w:r>
          </w:p>
        </w:tc>
        <w:tc>
          <w:tcPr>
            <w:tcW w:type="dxa" w:w="201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Octobre 2026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259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Document complet du PTA et budget PCI rédigé et disponible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12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Organiser l’atelier de Validation du plan stratégique, du PTA, du PO et du budget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DG / CLIN / Point focal PCI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Octobre 2026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Plan stratégique, PTA, PO et budget validés par acte officiel</w:t>
            </w:r>
          </w:p>
        </w:tc>
      </w:tr>
      <w:tr>
        <w:trPr>
          <w:cantSplit/>
        </w:trPr>
        <w:tc>
          <w:tcPr>
            <w:tcW w:type="dxa" w:w="57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13</w:t>
            </w:r>
          </w:p>
        </w:tc>
        <w:tc>
          <w:tcPr>
            <w:tcW w:type="dxa" w:w="4608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1.2.5. Approuver officiellement le plan élaboré selon les exigences de la Direction Générale</w:t>
            </w:r>
          </w:p>
        </w:tc>
        <w:tc>
          <w:tcPr>
            <w:tcW w:type="dxa" w:w="187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DG</w:t>
            </w:r>
          </w:p>
        </w:tc>
        <w:tc>
          <w:tcPr>
            <w:tcW w:type="dxa" w:w="201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Décembre 2026</w:t>
            </w:r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259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PTA officiellement approuvé par décision de la Direction Générale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14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1.2.6. Disséminer et vulgariser le PTA PCI auprès de l'ensemble des départements et pôles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Point focal / EOPCI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Janvier 2027</w:t>
            </w:r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Bordereau de transmission et séances de briefing tenues dans tous les pôles</w:t>
            </w:r>
          </w:p>
        </w:tc>
      </w:tr>
      <w:tr>
        <w:trPr>
          <w:cantSplit/>
        </w:trPr>
        <w:tc>
          <w:tcPr>
            <w:tcW w:type="dxa" w:w="57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15</w:t>
            </w:r>
          </w:p>
        </w:tc>
        <w:tc>
          <w:tcPr>
            <w:tcW w:type="dxa" w:w="4608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1.2.7. Intégrer le PTA et le budget PCI au Plan Intégré de Travail et Budget Annuel (PITBA) de l'hôpital</w:t>
            </w:r>
          </w:p>
        </w:tc>
        <w:tc>
          <w:tcPr>
            <w:tcW w:type="dxa" w:w="187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DG / DAF / Point focal PCI</w:t>
            </w:r>
          </w:p>
        </w:tc>
        <w:tc>
          <w:tcPr>
            <w:tcW w:type="dxa" w:w="201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Janvier 2027</w:t>
            </w:r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259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Lignes budgétaires PCI sanctuarisées dans le budget consolidé de l'hôpital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16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Réaliser la relecture des lignes directrices nationales et internationales (OMS) de PCI et les adapter au contexte du CHUMEL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EOPCI / CLIN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2 Jours Décembre 2026 - Janvier 2027</w:t>
            </w:r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Rapport d'analyse comparative et guide institutionnel de PCI adapté</w:t>
            </w:r>
          </w:p>
        </w:tc>
      </w:tr>
      <w:tr>
        <w:trPr>
          <w:cantSplit/>
        </w:trPr>
        <w:tc>
          <w:tcPr>
            <w:tcW w:type="dxa" w:w="57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17</w:t>
            </w:r>
          </w:p>
        </w:tc>
        <w:tc>
          <w:tcPr>
            <w:tcW w:type="dxa" w:w="4608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2.1.2. Élaborer, réviser et standardiser le corpus des Procédures Opérationnelles Standardisées (POS) prioritaires :</w:t>
              <w:br/>
              <w:t>1- POS Bionettoyage des locaux, blocs opératoires et néonatologie</w:t>
              <w:br/>
              <w:t>2- POS Cathétérisme veineux périphérique et central</w:t>
              <w:br/>
              <w:t>3- POS Sondage vésical à demeure et soins de sonde</w:t>
              <w:br/>
              <w:t>4- POS Hygiène des mains (lavage simple, hygiénique et friction)</w:t>
              <w:br/>
              <w:t>5- POS Tri, collecte et stockage des Déchets Biomédicaux (DBM)</w:t>
              <w:br/>
              <w:t>6- POS Conduite à tenir en cas d'Accident d'Exposition au Sang (AES)</w:t>
              <w:br/>
              <w:t>7- POS Préparation et contrôle des antiseptiques et désinfectants</w:t>
            </w:r>
          </w:p>
        </w:tc>
        <w:tc>
          <w:tcPr>
            <w:tcW w:type="dxa" w:w="187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EOPCI / Comité de rédaction (8 experts)</w:t>
            </w:r>
          </w:p>
        </w:tc>
        <w:tc>
          <w:tcPr>
            <w:tcW w:type="dxa" w:w="201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Décembre 2026 - Janvier 2027</w:t>
            </w:r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259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Recueil validé de 7 POS prioritaires standardisées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18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2.1.3. Organiser une séance statutaire de validation technique des POS élaborées par le CLIN et la direction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CLIN / DG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Février 2027</w:t>
            </w:r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Procès-verbal de validation technique signé par le Président du CLIN et la DG</w:t>
            </w:r>
          </w:p>
        </w:tc>
      </w:tr>
      <w:tr>
        <w:trPr>
          <w:cantSplit/>
        </w:trPr>
        <w:tc>
          <w:tcPr>
            <w:tcW w:type="dxa" w:w="57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19</w:t>
            </w:r>
          </w:p>
        </w:tc>
        <w:tc>
          <w:tcPr>
            <w:tcW w:type="dxa" w:w="4608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2.1.4. Mettre à disposition, reproduire et plastifier les classeurs de POS et fiches réflexes dans l'ensemble des services de soins</w:t>
            </w:r>
          </w:p>
        </w:tc>
        <w:tc>
          <w:tcPr>
            <w:tcW w:type="dxa" w:w="187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EOPCI / Économat</w:t>
            </w:r>
          </w:p>
        </w:tc>
        <w:tc>
          <w:tcPr>
            <w:tcW w:type="dxa" w:w="201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Mars 2027</w:t>
            </w:r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259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20 classeurs complets de POS et fiches réflexes plastifiées disposés aux postes de soins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20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2.1.5. Conduire des séances de briefing et d'appropriation des POS auprès du personnel soignant des pôles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Formateurs internes / EOPCI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Mars - Avril 2027</w:t>
            </w:r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Au moins 80% des équipes soignantes briffées sur les nouvelles POS</w:t>
            </w:r>
          </w:p>
        </w:tc>
      </w:tr>
      <w:tr>
        <w:trPr>
          <w:cantSplit/>
        </w:trPr>
        <w:tc>
          <w:tcPr>
            <w:tcW w:type="dxa" w:w="57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21</w:t>
            </w:r>
          </w:p>
        </w:tc>
        <w:tc>
          <w:tcPr>
            <w:tcW w:type="dxa" w:w="4608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3.1.1. Faire un planning annuel de formation du personnel hospitalier en PCI :</w:t>
              <w:br/>
              <w:t>- Recueillir et analyser les besoins en formation</w:t>
              <w:br/>
              <w:t>- Élaborer les modules pédagogiques et le calendrier annuel</w:t>
            </w:r>
          </w:p>
        </w:tc>
        <w:tc>
          <w:tcPr>
            <w:tcW w:type="dxa" w:w="187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Point focal / EOPCI</w:t>
            </w:r>
          </w:p>
        </w:tc>
        <w:tc>
          <w:tcPr>
            <w:tcW w:type="dxa" w:w="201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Novembre 2026</w:t>
            </w:r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259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Plan annuel de formation PCI validé et notifié aux services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22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3.1.2. Faire un planning de formation continue et de perfectionnement pour l'équipe PCI et les formateurs internes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Point focal / CLIN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Décembre 2026</w:t>
            </w:r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Planning de formation de formateurs formalisé</w:t>
            </w:r>
          </w:p>
        </w:tc>
      </w:tr>
      <w:tr>
        <w:trPr>
          <w:cantSplit/>
        </w:trPr>
        <w:tc>
          <w:tcPr>
            <w:tcW w:type="dxa" w:w="57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23</w:t>
            </w:r>
          </w:p>
        </w:tc>
        <w:tc>
          <w:tcPr>
            <w:tcW w:type="dxa" w:w="4608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Faire former 3 personnels du CLIN en hygiène hospitalière PCI et sécurité des patients</w:t>
            </w:r>
          </w:p>
        </w:tc>
        <w:tc>
          <w:tcPr>
            <w:tcW w:type="dxa" w:w="187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DG / CLIN / EOPCI</w:t>
            </w:r>
          </w:p>
        </w:tc>
        <w:tc>
          <w:tcPr>
            <w:tcW w:type="dxa" w:w="201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Janvier - Mars 2027</w:t>
            </w:r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259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3 membres du CLIN certifiés en hygiène hospitalière et sécurité des patients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24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Faire former 1 personnel du CLIN en évaluation des risques sanitaires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DG / CLIN / EOPCI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Janvier - Mars 2027</w:t>
            </w:r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1 cadre du CLIN certifié en évaluation des risques sanitaires hospitaliers</w:t>
            </w:r>
          </w:p>
        </w:tc>
      </w:tr>
      <w:tr>
        <w:trPr>
          <w:cantSplit/>
        </w:trPr>
        <w:tc>
          <w:tcPr>
            <w:tcW w:type="dxa" w:w="57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25</w:t>
            </w:r>
          </w:p>
        </w:tc>
        <w:tc>
          <w:tcPr>
            <w:tcW w:type="dxa" w:w="4608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3.1.3. Former l'ensemble du personnel soignant aux Précautions Standard et Précautions Complémentaires une fois par an (focus COVID-19, Fièvre de Lassa, Mpox) :</w:t>
              <w:br/>
              <w:t>- Diffuser les notes de service et plannings de passage</w:t>
              <w:br/>
              <w:t>- Dispenser les sessions modulaires (300 professionnels ciblés)</w:t>
              <w:br/>
              <w:t>- Réaliser les pré-tests et post-tests de compétences</w:t>
            </w:r>
          </w:p>
        </w:tc>
        <w:tc>
          <w:tcPr>
            <w:tcW w:type="dxa" w:w="187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Formateurs internes / EOPCI / DG</w:t>
            </w:r>
          </w:p>
        </w:tc>
        <w:tc>
          <w:tcPr>
            <w:tcW w:type="dxa" w:w="201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Janvier - Mars 2027</w:t>
            </w:r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259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Au moins 300 soignants formés avec gain moyen de compétences &gt; 40%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26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Organiser les sessions sur les techniques de lavage des mains au personnel des services hospitaliers et connexes - Sensibilisation des agents sur les techniques de lavage des mains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Formateurs internes / EOPCI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Février - Avril 2027</w:t>
            </w:r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100% des agents des unités ciblées sensibilisés et évalués par boîte à coucou / friction</w:t>
            </w:r>
          </w:p>
        </w:tc>
      </w:tr>
      <w:tr>
        <w:trPr>
          <w:cantSplit/>
        </w:trPr>
        <w:tc>
          <w:tcPr>
            <w:tcW w:type="dxa" w:w="57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27</w:t>
            </w:r>
          </w:p>
        </w:tc>
        <w:tc>
          <w:tcPr>
            <w:tcW w:type="dxa" w:w="4608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3.2.1. Organiser des sessions pratiques de formation des agents d’entretien et aides-soignants sur le bionettoyage et la gestion des déchets hospitaliers :</w:t>
              <w:br/>
              <w:t>- Techniques de bionettoyage (du plus propre vers le plus sale)</w:t>
              <w:br/>
              <w:t>- Dilution et dosage corrects des détergents-désinfectants</w:t>
              <w:br/>
              <w:t>- Gestion sécurisée des excréta et du linge souillé (300 agents ciblés)</w:t>
            </w:r>
          </w:p>
        </w:tc>
        <w:tc>
          <w:tcPr>
            <w:tcW w:type="dxa" w:w="187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Formateurs internes / EOPCI</w:t>
            </w:r>
          </w:p>
        </w:tc>
        <w:tc>
          <w:tcPr>
            <w:tcW w:type="dxa" w:w="201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Février - Avril 2027</w:t>
            </w:r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259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300 agents d'entretien et aides-soignants formés et évalués sur site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28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3.3.1. Organiser des séances régulières d'éducation et de sensibilisation sur les pratiques d’hygiène de base pour les patients et les accompagnants :</w:t>
              <w:br/>
              <w:t>- Hygiène des mains et utilisation correcte des distributeurs de savon/PHA</w:t>
              <w:br/>
              <w:t>- Propreté des chambres et tri des déchets ménagers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EOPCI / Points focaux services / Service social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Continu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Au moins 2 séances d'éducation tenues par semaine dans les salles d'attente et hospitalisation</w:t>
            </w:r>
          </w:p>
        </w:tc>
      </w:tr>
      <w:tr>
        <w:trPr>
          <w:cantSplit/>
        </w:trPr>
        <w:tc>
          <w:tcPr>
            <w:tcW w:type="dxa" w:w="57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29</w:t>
            </w:r>
          </w:p>
        </w:tc>
        <w:tc>
          <w:tcPr>
            <w:tcW w:type="dxa" w:w="4608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3.3.2. Assurer la participation de la délégation du CHUMEL aux congrès scientifiques de PCI (SB2HPCI / HBEEPTI) (15 membres ciblés)</w:t>
            </w:r>
          </w:p>
        </w:tc>
        <w:tc>
          <w:tcPr>
            <w:tcW w:type="dxa" w:w="187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DG / Point focal PCI</w:t>
            </w:r>
          </w:p>
        </w:tc>
        <w:tc>
          <w:tcPr>
            <w:tcW w:type="dxa" w:w="201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Mai - Juin 2027</w:t>
            </w:r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259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15 professionnels ayant participé aux congrès avec communications orales/posters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30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7.3.1. Faire une journée de l’hygiène des mains (organisation et célébration de la Journée internationale du 5 mai 2027 «Sauvez des vies : nettoyez-vous les mains») :</w:t>
              <w:br/>
              <w:t>- Conférences thématiques et ateliers de démonstration pratique</w:t>
              <w:br/>
              <w:t>- Concours d'émulation du service le plus observant avec remise de prix</w:t>
              <w:br/>
              <w:t>- Distribution de flacons individuels de solution hydro-alcoolique (PHA)</w:t>
              <w:br/>
              <w:t>- Stands d'information grand public et couverture médiatique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CLIN / EOPCI / DG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Mai 2027</w:t>
            </w:r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Journée célébrée, 1 service lauréat primé et 500 flacons individuels de PHA distribués</w:t>
            </w:r>
          </w:p>
        </w:tc>
      </w:tr>
      <w:tr>
        <w:trPr>
          <w:cantSplit/>
        </w:trPr>
        <w:tc>
          <w:tcPr>
            <w:tcW w:type="dxa" w:w="57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31</w:t>
            </w:r>
          </w:p>
        </w:tc>
        <w:tc>
          <w:tcPr>
            <w:tcW w:type="dxa" w:w="4608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Participer au congrès de la médecine hospitalière EOPCI</w:t>
            </w:r>
          </w:p>
        </w:tc>
        <w:tc>
          <w:tcPr>
            <w:tcW w:type="dxa" w:w="187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DG / CLIN / EOPCI</w:t>
            </w:r>
          </w:p>
        </w:tc>
        <w:tc>
          <w:tcPr>
            <w:tcW w:type="dxa" w:w="201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Juillet 2027</w:t>
            </w:r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259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Délégation CHUMEL ayant présenté un retour d'expérience au congrès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32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5.1.1. Élaborer, valider et déployer le plan institutionnel de surveillance des Infections Associées aux Soins (IAS) :</w:t>
              <w:br/>
              <w:t>- Définir les protocoles de surveillance ciblée (Infections du Site Opératoire, bactériémies sur cathéter, infections urinaires sur sonde, infections néonatales)</w:t>
              <w:br/>
              <w:t>- Standardiser les fiches de recueil et de notification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EOPCI / Réanimation / Maternité / Pédiatrie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Novembre - Décembre 2026</w:t>
            </w:r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Plan et protocoles de surveillance des 4 IAS majeures opérationnels</w:t>
            </w:r>
          </w:p>
        </w:tc>
      </w:tr>
      <w:tr>
        <w:trPr>
          <w:cantSplit/>
        </w:trPr>
        <w:tc>
          <w:tcPr>
            <w:tcW w:type="dxa" w:w="57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33</w:t>
            </w:r>
          </w:p>
        </w:tc>
        <w:tc>
          <w:tcPr>
            <w:tcW w:type="dxa" w:w="4608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5.1.2. Organiser des enquêtes épidémiologiques sur les IAS (une enquête dans les départements d’intérêts au CHU-MEL)</w:t>
            </w:r>
          </w:p>
        </w:tc>
        <w:tc>
          <w:tcPr>
            <w:tcW w:type="dxa" w:w="187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EOPCI / Équipes de soins</w:t>
            </w:r>
          </w:p>
        </w:tc>
        <w:tc>
          <w:tcPr>
            <w:tcW w:type="dxa" w:w="201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Août 2027</w:t>
            </w:r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259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1 enquête exhaustive de prévalence réalisée avec rapport épidémiologique diffusé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34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Organiser la collecte hebdomadaire de données sur les IAS par les points focaux IAS de service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Points focaux IAS / EOPCI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Continue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Fiches de recueil hebdomadaire transmises chaque semaine par 100% des services sentinelles</w:t>
            </w:r>
          </w:p>
        </w:tc>
      </w:tr>
      <w:tr>
        <w:trPr>
          <w:cantSplit/>
        </w:trPr>
        <w:tc>
          <w:tcPr>
            <w:tcW w:type="dxa" w:w="57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35</w:t>
            </w:r>
          </w:p>
        </w:tc>
        <w:tc>
          <w:tcPr>
            <w:tcW w:type="dxa" w:w="4608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Faire une analyse hebdomadaire - Présenter les résultats à la réunion hebdomadaire de l’EOPCI</w:t>
            </w:r>
          </w:p>
        </w:tc>
        <w:tc>
          <w:tcPr>
            <w:tcW w:type="dxa" w:w="187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EOPCI</w:t>
            </w:r>
          </w:p>
        </w:tc>
        <w:tc>
          <w:tcPr>
            <w:tcW w:type="dxa" w:w="201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Continue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259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Tableau de bord hebdomadaire des IAS examiné à chaque réunion d'équipe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36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5.2.1. Intégrer les aspects d’analyse microbiologique et de contrôle environnemental dans les activités régulières du laboratoire du CHUMEL :</w:t>
              <w:br/>
              <w:t>- Standardiser les techniques de prélèvement d'air, d'eau et de surfaces</w:t>
              <w:br/>
              <w:t>- Ouvrir un registre dédié aux contrôles bactériologiques d'hygiène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Chef Service Laboratoire / EOPCI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Mars 2027</w:t>
            </w:r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Procédure d'analyse environnementale validée et registre de traçabilité ouvert au laboratoire</w:t>
            </w:r>
          </w:p>
        </w:tc>
      </w:tr>
      <w:tr>
        <w:trPr>
          <w:cantSplit/>
        </w:trPr>
        <w:tc>
          <w:tcPr>
            <w:tcW w:type="dxa" w:w="57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37</w:t>
            </w:r>
          </w:p>
        </w:tc>
        <w:tc>
          <w:tcPr>
            <w:tcW w:type="dxa" w:w="4608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5.2.2. Exécuter le programme annuel de recherche des germes nosocomiaux et profils de résistance aux antibiotiques (33 processus / séries de prélèvements environnementaux et sentinelles) :</w:t>
              <w:br/>
              <w:t>- Prélèvements de surfaces dans les blocs opératoires, réanimation, néonatologie et biberonnerie</w:t>
              <w:br/>
              <w:t>- Contrôle bactériologique de l'air et de la stérilisation</w:t>
              <w:br/>
              <w:t>- Isolement des bactéries multirésistantes (BMR) et établissement des antibiogrammes</w:t>
              <w:br/>
              <w:t>- Analyser les alertes infectieuses et incidents de la semaine</w:t>
              <w:br/>
              <w:t>- Coordonner les activités de terrain et les supervisions</w:t>
            </w:r>
          </w:p>
        </w:tc>
        <w:tc>
          <w:tcPr>
            <w:tcW w:type="dxa" w:w="187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Laboratoire de bactériologie / EOPCI</w:t>
            </w:r>
          </w:p>
        </w:tc>
        <w:tc>
          <w:tcPr>
            <w:tcW w:type="dxa" w:w="201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Continu (Octobre 2026 - Septembre 2027)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259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33 séries de contrôles microbiologiques exécutées avec cartographie complète de l'écologie microbienne du CHUMEL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38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7.1.1. Identifier et formaliser les indicateurs clés de suivi de la PCI (taux d'observance de l'hygiène des mains, conformité de pose/entretien des cathéters, conformité de pose des sondes urinaires, respect du tri des DBM, conformité du bionettoyage, taux d'AES)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EOPCI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Janvier 2027</w:t>
            </w:r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Répertoire de 6 indicateurs prioritaires formalisé avec fiches de calcul documentées</w:t>
            </w:r>
          </w:p>
        </w:tc>
      </w:tr>
      <w:tr>
        <w:trPr>
          <w:cantSplit/>
        </w:trPr>
        <w:tc>
          <w:tcPr>
            <w:tcW w:type="dxa" w:w="57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39</w:t>
            </w:r>
          </w:p>
        </w:tc>
        <w:tc>
          <w:tcPr>
            <w:tcW w:type="dxa" w:w="4608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7.1.2. Élaborer, tester et dupliquer les outils et grilles standardisés d'audit clinique et de recueil de données de terrain</w:t>
            </w:r>
          </w:p>
        </w:tc>
        <w:tc>
          <w:tcPr>
            <w:tcW w:type="dxa" w:w="187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EOPCI</w:t>
            </w:r>
          </w:p>
        </w:tc>
        <w:tc>
          <w:tcPr>
            <w:tcW w:type="dxa" w:w="201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Février 2027</w:t>
            </w:r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259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Kit complet de grilles d'audit clinique validé et disponible sous formats papier et électronique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40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7.1.3. Doter l'unité PCI en matériels informatiques et de bureau indispensables au recueil statistique et à la gestion documentaire :</w:t>
              <w:br/>
              <w:t>- 1 Ordinateur portable dédié aux données PCI</w:t>
              <w:br/>
              <w:t>- 1 Imprimante multifonction (impression des grilles et rapports)</w:t>
              <w:br/>
              <w:t>- 1 Disque dur SSD externe 1 To et 1 clé USB 32 Go (sauvegarde et archivage)</w:t>
              <w:br/>
              <w:t>- 1 Armoire de rangement sécurisée des archives du CLIN</w:t>
              <w:br/>
              <w:t>- Fournitures de bureau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DAF / EOPCI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CONTINUE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Unité PCI dotée d'équipements informatiques et d'une armoire de rangement neufs et fonctionnels</w:t>
            </w:r>
          </w:p>
        </w:tc>
      </w:tr>
      <w:tr>
        <w:trPr>
          <w:cantSplit/>
        </w:trPr>
        <w:tc>
          <w:tcPr>
            <w:tcW w:type="dxa" w:w="57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41</w:t>
            </w:r>
          </w:p>
        </w:tc>
        <w:tc>
          <w:tcPr>
            <w:tcW w:type="dxa" w:w="4608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7.2.1. Faire une fois par mois l’évaluation de l’hygiène des mains dans les services de soins (évaluation observationnelle de l'observance sur 500 opportunités par trimestre)</w:t>
            </w:r>
          </w:p>
        </w:tc>
        <w:tc>
          <w:tcPr>
            <w:tcW w:type="dxa" w:w="187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EOPCI / Points focaux</w:t>
            </w:r>
          </w:p>
        </w:tc>
        <w:tc>
          <w:tcPr>
            <w:tcW w:type="dxa" w:w="201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Mensuel (Oct. 2026 - Sept. 2027)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259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12 rapports d'évaluation mensuelle ; taux d'observance global cible supérieur à 70%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42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7.2.3. Réaliser des audits internes PCI trimestriels sur la gestion des cathéters veineux, la gestion des DBM et le bionettoyage dans l'ensemble des services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EOPCI / CLIN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Trimestriel (Déc. 2026, Mars, Juin, Sept. 2027)</w:t>
            </w:r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4 rapports d'audit interne produits assortis de plans de correction validés</w:t>
            </w:r>
          </w:p>
        </w:tc>
      </w:tr>
      <w:tr>
        <w:trPr>
          <w:cantSplit/>
        </w:trPr>
        <w:tc>
          <w:tcPr>
            <w:tcW w:type="dxa" w:w="57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43</w:t>
            </w:r>
          </w:p>
        </w:tc>
        <w:tc>
          <w:tcPr>
            <w:tcW w:type="dxa" w:w="4608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Realiser un suivi mensuel de la qualité de la gestion des déchets biomédicaux</w:t>
            </w:r>
          </w:p>
        </w:tc>
        <w:tc>
          <w:tcPr>
            <w:tcW w:type="dxa" w:w="187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EOPCI / Service Salubrité</w:t>
            </w:r>
          </w:p>
        </w:tc>
        <w:tc>
          <w:tcPr>
            <w:tcW w:type="dxa" w:w="201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MENSUEL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259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12 grilles de contrôle mensuel de la filière DBM renseignées et archivées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44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7.3.2. Élaborer un plan de restitution des audits aux parties prenantes et animer les réunions trimestrielles de restitution et retour d'information (feedback)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EOPCI / CLIN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Novembre 2026 puis Trimestriel</w:t>
            </w:r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Plan de restitution validé et 4 réunions trimestrielles de feedback tenues auprès des chefs de pôles et majors</w:t>
            </w:r>
          </w:p>
        </w:tc>
      </w:tr>
      <w:tr>
        <w:trPr>
          <w:cantSplit/>
        </w:trPr>
        <w:tc>
          <w:tcPr>
            <w:tcW w:type="dxa" w:w="57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45</w:t>
            </w:r>
          </w:p>
        </w:tc>
        <w:tc>
          <w:tcPr>
            <w:tcW w:type="dxa" w:w="4608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8.1.1. Faire l’évaluation de la charge de travail, du niveau de dotation en personnel soignant au CHUMEL, ainsi que de l’occupation des lits et de leurs espacements dans les pôles d'hospitalisation</w:t>
            </w:r>
          </w:p>
        </w:tc>
        <w:tc>
          <w:tcPr>
            <w:tcW w:type="dxa" w:w="187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EOPCI / DSIO / DRH</w:t>
            </w:r>
          </w:p>
        </w:tc>
        <w:tc>
          <w:tcPr>
            <w:tcW w:type="dxa" w:w="201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Septembre 2027</w:t>
            </w:r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259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Rapport d'évaluation disponible préconisant le respect de l'espacement minimal d'1 mètre et l'adaptation des ratios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46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8.2.1. Superviser mensuellement la gestion des déchets biomédicaux dans les services (tri à la source, conditionnement en sacs jaunes, pesée/tonnage, transport interne et stockage temporaire)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EOPCI / Service Salubrité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Mensuel (Continu)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12 rapports mensuels de supervision ; taux de conformité du tri à la source supérieur à 80%</w:t>
            </w:r>
          </w:p>
        </w:tc>
      </w:tr>
      <w:tr>
        <w:trPr>
          <w:cantSplit/>
        </w:trPr>
        <w:tc>
          <w:tcPr>
            <w:tcW w:type="dxa" w:w="57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47</w:t>
            </w:r>
          </w:p>
        </w:tc>
        <w:tc>
          <w:tcPr>
            <w:tcW w:type="dxa" w:w="4608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8.2.3. superviser la disponibilité des équipements du lavage des mains, du bionetoyage du lavage et sterilisation des linges et équipements médicaux</w:t>
            </w:r>
          </w:p>
        </w:tc>
        <w:tc>
          <w:tcPr>
            <w:tcW w:type="dxa" w:w="187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DAF / Économat / EOPCI</w:t>
            </w:r>
          </w:p>
        </w:tc>
        <w:tc>
          <w:tcPr>
            <w:tcW w:type="dxa" w:w="201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Novembre - Décembre 2026</w:t>
            </w:r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259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50 poubelles à pédale neuves réparties dans les unités et 1 système de pesage/tonnage fonctionnel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48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8.2.4. Faire installer un incinérateur hospitalier fonctionnel et de capacité suffisante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DG / DST / Ministère de la Santé / PTF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Janvier - Août 2027</w:t>
            </w:r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Dossier technique d'études validé (FP) et incinérateur fonctionnel réceptionné (PTF-État)</w:t>
            </w:r>
          </w:p>
        </w:tc>
      </w:tr>
      <w:tr>
        <w:trPr>
          <w:cantSplit/>
        </w:trPr>
        <w:tc>
          <w:tcPr>
            <w:tcW w:type="dxa" w:w="57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49</w:t>
            </w:r>
          </w:p>
        </w:tc>
        <w:tc>
          <w:tcPr>
            <w:tcW w:type="dxa" w:w="4608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8.3.1. Vérifier la qualité de l’eau une fois par an (analyses physico-chimiques et bactériologiques des forages, réservoirs de stockage et robinets de soins par un laboratoire agréé)</w:t>
            </w:r>
          </w:p>
        </w:tc>
        <w:tc>
          <w:tcPr>
            <w:tcW w:type="dxa" w:w="187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EOPCI / DST / Laboratoire d'Hygiène de l'Eau</w:t>
            </w:r>
          </w:p>
        </w:tc>
        <w:tc>
          <w:tcPr>
            <w:tcW w:type="dxa" w:w="201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Mars 2027</w:t>
            </w:r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259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Rapport officiel attestant la potabilité de l'eau distribuée délivré et mesures correctives prises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50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8.3.2. Vérifier la qualité et la concentration des matériels et produits de désinfection (titrage régulier du chlore actif de l'eau de javel et conformité des solutions hydro-alcooliques)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Pharmacie hospitalière / Laboratoire / EOPCI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Trimestriel (Nov. 2026, Fév., Mai, Août 2027)</w:t>
            </w:r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4 rapports trimestriels de contrôle de qualité et de titrage du chlore actif validés</w:t>
            </w:r>
          </w:p>
        </w:tc>
      </w:tr>
      <w:tr>
        <w:trPr>
          <w:cantSplit/>
        </w:trPr>
        <w:tc>
          <w:tcPr>
            <w:tcW w:type="dxa" w:w="57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51</w:t>
            </w:r>
          </w:p>
        </w:tc>
        <w:tc>
          <w:tcPr>
            <w:tcW w:type="dxa" w:w="4608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8.3.3. Acquérir et installer 20 dispositifs ergonomiques de lavage des mains avec robinetterie non manuelle (commande au coude ou à pédale) dans les zones critiques dépourvues de points d'eau</w:t>
            </w:r>
          </w:p>
        </w:tc>
        <w:tc>
          <w:tcPr>
            <w:tcW w:type="dxa" w:w="187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DST / DAF / EOPCI</w:t>
            </w:r>
          </w:p>
        </w:tc>
        <w:tc>
          <w:tcPr>
            <w:tcW w:type="dxa" w:w="201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Décembre 2026 - Mars 2027</w:t>
            </w:r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259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20 nouveaux postes ergonomiques de lavage des mains installés et raccordés au réseau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52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8.3.4. Superviser  la dotation annuelle en consommables d'hygiène et fournitures ordinaires indispensables au fonctionnement du CLIN/PCI :</w:t>
              <w:br/>
              <w:t>- Savon liquide pour le lavage des mains (250 Litres)</w:t>
              <w:br/>
              <w:t>- Essuie-mains jetables à usage unique (250 rouleaux)</w:t>
              <w:br/>
              <w:t>- Fournitures de bureau annuelles (12 cartons papier RAM, 12 recharges encre imprimante A80, stylos, chemises dossiers, agrafes, registres)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Économat / DAF / Point focal PCI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Trimestriel (Continu)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Zéro rupture de stock en savon liquide et essuie-mains constatée dans les blocs et unités critiques</w:t>
            </w:r>
          </w:p>
        </w:tc>
      </w:tr>
      <w:tr>
        <w:trPr>
          <w:cantSplit/>
        </w:trPr>
        <w:tc>
          <w:tcPr>
            <w:tcW w:type="dxa" w:w="57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53</w:t>
            </w:r>
          </w:p>
        </w:tc>
        <w:tc>
          <w:tcPr>
            <w:tcW w:type="dxa" w:w="4608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ELABORATION DES OUTILS DE COMMUNICATION SUR L’hygiène hospitalière et la PCI (Affiches, affichettes, dépliants)</w:t>
            </w:r>
          </w:p>
        </w:tc>
        <w:tc>
          <w:tcPr>
            <w:tcW w:type="dxa" w:w="187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EOPCI / Cellule Communication</w:t>
            </w:r>
          </w:p>
        </w:tc>
        <w:tc>
          <w:tcPr>
            <w:tcW w:type="dxa" w:w="201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Février – Mars 2027</w:t>
            </w:r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9FBFC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259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Kit complet de maquettes validé (lavage des mains, DBM, bionettoyage, AES)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54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Multiplication des outils de communication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Économat / DAF / EOPCI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Mars – Avril 2027</w:t>
            </w:r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346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r/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500 affiches plastifiées et 2 000 dépliants imprimés et réceptionnés</w:t>
            </w:r>
          </w:p>
        </w:tc>
      </w:tr>
      <w:tr>
        <w:trPr>
          <w:cantSplit/>
        </w:trPr>
        <w:tc>
          <w:tcPr>
            <w:tcW w:type="dxa" w:w="57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55</w:t>
            </w:r>
          </w:p>
        </w:tc>
        <w:tc>
          <w:tcPr>
            <w:tcW w:type="dxa" w:w="4608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Diffuser les outils de communication</w:t>
            </w:r>
          </w:p>
        </w:tc>
        <w:tc>
          <w:tcPr>
            <w:tcW w:type="dxa" w:w="187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EOPCI / Points focaux de service</w:t>
            </w:r>
          </w:p>
        </w:tc>
        <w:tc>
          <w:tcPr>
            <w:tcW w:type="dxa" w:w="2016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Continue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346"/>
            <w:shd w:fill="C5A059"/>
            <w:tcMar>
              <w:top w:w="60" w:type="dxa"/>
              <w:bottom w:w="60" w:type="dxa"/>
              <w:left w:w="20" w:type="dxa"/>
              <w:right w:w="2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●</w:t>
            </w:r>
          </w:p>
        </w:tc>
        <w:tc>
          <w:tcPr>
            <w:tcW w:type="dxa" w:w="2592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100% des postes de soins et lavabos équipés d'affiches visibles et entretenues</w:t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