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2"/>
        </w:rPr>
        <w:t>PTA BUDGÉTISÉ FINAL CLIN / PCI CHUMEL 2026-2027</w:t>
        <w:br/>
      </w:r>
      <w:r>
        <w:rPr>
          <w:rFonts w:ascii="Calibri" w:hAnsi="Calibri"/>
          <w:i/>
          <w:color w:val="505050"/>
          <w:sz w:val="22"/>
        </w:rPr>
        <w:t>CENTRE HOSPITALIER UNIVERSITAIRE DE LA MÈRE ET DE L'ENFANT LAGUNE (CHUMEL)</w:t>
        <w:br/>
        <w:t>Plan d'Action Financier Consolidé – Uniquement les Activités Effectivement Budgétisées</w:t>
      </w:r>
    </w:p>
    <w:p>
      <w:pPr>
        <w:spacing w:before="80" w:after="200"/>
      </w:pPr>
      <w:r>
        <w:rPr>
          <w:rFonts w:ascii="Calibri" w:hAnsi="Calibri"/>
          <w:i/>
          <w:color w:val="2C3E50"/>
          <w:sz w:val="19"/>
        </w:rPr>
        <w:t>Champ d'application : Ce document constitue la version finale du Plan Budgétisé PCI 2026-2027. Conformément aux directives de cadrage budgétaire, il exclut les activités sans dotation financière directe et rassemble exclusivement les 17 activités ayant fait l'objet d'un chiffrage budgétaire validé, pour un montant total consolidé de 13 490 000 FCFA.</w:t>
      </w:r>
    </w:p>
    <w:tbl>
      <w:tblPr>
        <w:tblW w:type="auto" w:w="0"/>
        <w:jc w:val="center"/>
        <w:tblLayout w:type="fixed"/>
        <w:tblLook w:firstColumn="1" w:firstRow="1" w:lastColumn="0" w:lastRow="0" w:noHBand="0" w:noVBand="1" w:val="04A0"/>
      </w:tblPr>
      <w:tblGrid>
        <w:gridCol w:w="1924"/>
        <w:gridCol w:w="1924"/>
        <w:gridCol w:w="1924"/>
        <w:gridCol w:w="1924"/>
        <w:gridCol w:w="1924"/>
        <w:gridCol w:w="1924"/>
        <w:gridCol w:w="1924"/>
        <w:gridCol w:w="1924"/>
      </w:tblGrid>
      <w:tr>
        <w:trPr>
          <w:cantSplit/>
          <w:tblHeader/>
        </w:trPr>
        <w:tc>
          <w:tcPr>
            <w:tcW w:type="dxa" w:w="576"/>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N°</w:t>
            </w:r>
          </w:p>
        </w:tc>
        <w:tc>
          <w:tcPr>
            <w:tcW w:type="dxa" w:w="2592"/>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Objectifs stratégiques</w:t>
            </w:r>
          </w:p>
        </w:tc>
        <w:tc>
          <w:tcPr>
            <w:tcW w:type="dxa" w:w="4608"/>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Activité / Sous-activité budgétisée</w:t>
            </w:r>
          </w:p>
        </w:tc>
        <w:tc>
          <w:tcPr>
            <w:tcW w:type="dxa" w:w="1728"/>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Responsabilité</w:t>
            </w:r>
          </w:p>
        </w:tc>
        <w:tc>
          <w:tcPr>
            <w:tcW w:type="dxa" w:w="2016"/>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Période d’exécution</w:t>
            </w:r>
          </w:p>
        </w:tc>
        <w:tc>
          <w:tcPr>
            <w:tcW w:type="dxa" w:w="2592"/>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Détail du calcul / Clé de coût</w:t>
            </w:r>
          </w:p>
        </w:tc>
        <w:tc>
          <w:tcPr>
            <w:tcW w:type="dxa" w:w="1584"/>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Budget validé (FCFA)</w:t>
            </w:r>
          </w:p>
        </w:tc>
        <w:tc>
          <w:tcPr>
            <w:tcW w:type="dxa" w:w="1152"/>
            <w:shd w:fill="1B365D"/>
            <w:tcMar>
              <w:top w:w="120" w:type="dxa"/>
              <w:bottom w:w="12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Source</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I. PROGRAMME PCI</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Solliciter une expertise externe pour accompagner le CLIN/PCI</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EOPCI</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Février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Honoraires et mission expert externe PCI (Forfait global)</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2 100 000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2</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Organiser l’atelier de Validation du plan stratégique, du PTA, du PO et du budget</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Point focal PCI</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Octobre 2026</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25 participants x 8 000 FCFA (indemnités &amp; pause-café atelier)</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200 000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3</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II. LIGNES DIRECTRICES, PROTOCOLES ET POS</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Réaliser la relecture des lignes directrices nationales et internationales (OMS) de PCI et les adapter au contexte du CHUMEL</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CLIN</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2 Jours Décembre 2026 - Janvier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15 experts x 8 000 FCFA/j x 2 jours de relecture et contextualisation</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240 000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4</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2.1.3. Organiser une séance statutaire de validation technique des POS élaborées par le CLIN et la direction</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CLIN / DG</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Février 2027</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25 participants x 8 000 FCFA (indemnités &amp; pause-café de validation)</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200 000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5</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III. FORMATION ET ÉDUCATION EN PCI</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Faire former 3 personnels du CLIN en hygiène hospitalière PCI et sécurité des patients</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EOPCI</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Janvier - Mars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 inscriptions / bourses certifiantes x 500 000 FCFA</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1 500 000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6</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Faire former 1 personnel du CLIN en évaluation des risques sanitaires</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EOPCI</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Janvier - Mars 2027</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 inscription / formation certifiante en gestion des risques sanitaires</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500 000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7</w:t>
            </w:r>
          </w:p>
        </w:tc>
        <w:tc>
          <w:tcPr>
            <w:tcW w:type="dxa" w:w="259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3.1.3. Former l'ensemble du personnel soignant aux Précautions Standard et Précautions Complémentaires une fois par an (focus COVID-19, Fièvre de Lassa, Mpox) :</w:t>
              <w:br/>
              <w:t>- Diffuser les notes de service et plannings de passage</w:t>
              <w:br/>
              <w:t>- Dispenser les sessions modulaires (300 professionnels ciblés)</w:t>
              <w:br/>
              <w:t>- Réaliser les pré-tests et post-tests de compétences</w:t>
            </w:r>
          </w:p>
        </w:tc>
        <w:tc>
          <w:tcPr>
            <w:tcW w:type="dxa" w:w="1728"/>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Formateurs internes / EOPCI / DG</w:t>
            </w:r>
          </w:p>
        </w:tc>
        <w:tc>
          <w:tcPr>
            <w:tcW w:type="dxa" w:w="2016"/>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Janvier - Mars 2027</w:t>
            </w:r>
          </w:p>
        </w:tc>
        <w:tc>
          <w:tcPr>
            <w:tcW w:type="dxa" w:w="259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300 soignants x 8 000 FCFA (sessions modulaires par vagues)</w:t>
            </w:r>
          </w:p>
        </w:tc>
        <w:tc>
          <w:tcPr>
            <w:tcW w:type="dxa" w:w="1584"/>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2 400 000</w:t>
            </w:r>
          </w:p>
        </w:tc>
        <w:tc>
          <w:tcPr>
            <w:tcW w:type="dxa" w:w="115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8</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3.3.2. Assurer la participation de la délégation du CHUMEL aux congrès scientifiques de PCI (SB2HPCI / HBEEPTI) (15 membres ciblés)</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Point focal PCI</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Mai - Juin 2027</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frais d'inscription et participation de la délégation</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300 000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9</w:t>
            </w:r>
          </w:p>
        </w:tc>
        <w:tc>
          <w:tcPr>
            <w:tcW w:type="dxa" w:w="259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7.3.1. Faire une journée de l’hygiène des mains (organisation et célébration de la Journée internationale du 5 mai 2027 «Sauvez des vies : nettoyez-vous les mains») :</w:t>
              <w:br/>
              <w:t>- Conférences thématiques et ateliers de démonstration pratique</w:t>
              <w:br/>
              <w:t>- Concours d'émulation du service le plus observant avec remise de prix</w:t>
              <w:br/>
              <w:t>- Distribution de flacons individuels de solution hydro-alcoolique (PHA)</w:t>
              <w:br/>
              <w:t>- Stands d'information grand public et couverture médiatique</w:t>
            </w:r>
          </w:p>
        </w:tc>
        <w:tc>
          <w:tcPr>
            <w:tcW w:type="dxa" w:w="1728"/>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CLIN / EOPCI / DG</w:t>
            </w:r>
          </w:p>
        </w:tc>
        <w:tc>
          <w:tcPr>
            <w:tcW w:type="dxa" w:w="2016"/>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Mai 2027</w:t>
            </w:r>
          </w:p>
        </w:tc>
        <w:tc>
          <w:tcPr>
            <w:tcW w:type="dxa" w:w="259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organisation de la journée, prix d'émulation, supports et flacons PHA</w:t>
            </w:r>
          </w:p>
        </w:tc>
        <w:tc>
          <w:tcPr>
            <w:tcW w:type="dxa" w:w="1584"/>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500 000</w:t>
            </w:r>
          </w:p>
        </w:tc>
        <w:tc>
          <w:tcPr>
            <w:tcW w:type="dxa" w:w="115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 / PTF</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10</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Participer au congrès de la médecine hospitalière EOPCI</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EOPCI</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Juillet 2027</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inscription et communication scientifique de l'EOPCI</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300 000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11</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V. SURVEILLANCE DES IAS</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5.2.2. Exécuter le programme annuel de recherche des germes nosocomiaux et profils de résistance aux antibiotiques (33 processus / séries de prélèvements environnementaux et sentinelles) :</w:t>
              <w:br/>
              <w:t>- Prélèvements de surfaces dans les blocs opératoires, réanimation, néonatologie et biberonnerie</w:t>
              <w:br/>
              <w:t>- Contrôle bactériologique de l'air et de la stérilisation</w:t>
              <w:br/>
              <w:t>- Isolement des bactéries multirésistantes (BMR) et établissement des antibiogrammes</w:t>
              <w:br/>
              <w:t>- Analyser les alertes infectieuses et incidents de la semaine</w:t>
              <w:br/>
              <w:t>- Coordonner les activités de terrain et les supervisions</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Laboratoire de bactériologie / EOPCI</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Continu (Octobre 2026 - Septembre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consommables bactériologiques, milieux de culture et réactifs d'antibiogramme</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1 000 000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12</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VII. SUIVI, AUDITS ET RESTITUTION DES RÉSULTATS</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7.1.2. Élaborer, tester et dupliquer les outils et grilles standardisés d'audit clinique et de recueil de données de terrain</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Février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infographie, duplication et reprographie des grilles d'audit clinique</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250 000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13</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VIII. CHARGES DE TRAVAIL, DOTATION EN PERSONNEL, GESTION DES DÉCHETS BIOMÉDICAUX ET ENVIRONNEMENT BÂTI (WASH)</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8.2.4. Faire installer un incinérateur hospitalier fonctionnel et de capacité suffisante</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DST / Ministère de la Santé / PTF</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Janvier - Août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études techniques préliminaires d'ingénierie et impact environnemental (FP)</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1 000 000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 (études) / PTF-État (travaux)</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14</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8.3.1. Vérifier la qualité de l’eau une fois par an (analyses physico-chimiques et bactériologiques des forages, réservoirs de stockage et robinets de soins par un laboratoire agréé)</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DST / Laboratoire d'Hygiène de l'Eau</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Mars 2027</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prélèvements et analyses physico-chimiques/bactériologiques laboratoire externe agréé</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1 000 000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15</w:t>
            </w:r>
          </w:p>
        </w:tc>
        <w:tc>
          <w:tcPr>
            <w:tcW w:type="dxa" w:w="259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8.3.2. Vérifier la qualité et la concentration des matériels et produits de désinfection (titrage régulier du chlore actif de l'eau de javel et conformité des solutions hydro-alcooliques)</w:t>
            </w:r>
          </w:p>
        </w:tc>
        <w:tc>
          <w:tcPr>
            <w:tcW w:type="dxa" w:w="1728"/>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Pharmacie hospitalière / Laboratoire / EOPCI</w:t>
            </w:r>
          </w:p>
        </w:tc>
        <w:tc>
          <w:tcPr>
            <w:tcW w:type="dxa" w:w="2016"/>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Trimestriel (Nov. 2026, Fév., Mai, Août 2027)</w:t>
            </w:r>
          </w:p>
        </w:tc>
        <w:tc>
          <w:tcPr>
            <w:tcW w:type="dxa" w:w="259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bandelettes de test, réactifs de chlorométrie et contrôles pharmacotechniques</w:t>
            </w:r>
          </w:p>
        </w:tc>
        <w:tc>
          <w:tcPr>
            <w:tcW w:type="dxa" w:w="1584"/>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500 000</w:t>
            </w:r>
          </w:p>
        </w:tc>
        <w:tc>
          <w:tcPr>
            <w:tcW w:type="dxa" w:w="1152"/>
            <w:shd w:fill="F9FBFC"/>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16</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r>
          </w:p>
        </w:tc>
        <w:tc>
          <w:tcPr>
            <w:tcW w:type="dxa" w:w="460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8.3.3. Acquérir et installer 20 dispositifs ergonomiques de lavage des mains avec robinetterie non manuelle (commande au coude ou à pédale) dans les zones critiques dépourvues de points d'eau</w:t>
            </w:r>
          </w:p>
        </w:tc>
        <w:tc>
          <w:tcPr>
            <w:tcW w:type="dxa" w:w="1728"/>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DST / DAF / EOPCI</w:t>
            </w:r>
          </w:p>
        </w:tc>
        <w:tc>
          <w:tcPr>
            <w:tcW w:type="dxa" w:w="2016"/>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Décembre 2026 - Mars 2027</w:t>
            </w:r>
          </w:p>
        </w:tc>
        <w:tc>
          <w:tcPr>
            <w:tcW w:type="dxa" w:w="259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achat et pose de 20 postes de lavage avec robinetterie commande non manuelle</w:t>
            </w:r>
          </w:p>
        </w:tc>
        <w:tc>
          <w:tcPr>
            <w:tcW w:type="dxa" w:w="1584"/>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1 000 000</w:t>
            </w:r>
          </w:p>
        </w:tc>
        <w:tc>
          <w:tcPr>
            <w:tcW w:type="dxa" w:w="1152"/>
            <w:shd w:fill="FFFFFF"/>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17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b/>
                <w:color w:val="1B365D"/>
                <w:sz w:val="17"/>
              </w:rPr>
              <w:t>VI. COMMUNICATION SUR LA PCI</w:t>
            </w:r>
          </w:p>
        </w:tc>
        <w:tc>
          <w:tcPr>
            <w:tcW w:type="dxa" w:w="460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ELABORATION DES OUTILS DE COMMUNICATION SUR L’hygiène hospitalière et la PCI (Affiches, affichettes, dépliants)</w:t>
            </w:r>
          </w:p>
        </w:tc>
        <w:tc>
          <w:tcPr>
            <w:tcW w:type="dxa" w:w="1728"/>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Cellule Communication</w:t>
            </w:r>
          </w:p>
        </w:tc>
        <w:tc>
          <w:tcPr>
            <w:tcW w:type="dxa" w:w="2016"/>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Février – Mars 2027</w:t>
            </w:r>
          </w:p>
        </w:tc>
        <w:tc>
          <w:tcPr>
            <w:tcW w:type="dxa" w:w="259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Forfait conception graphique et mise en page des supports visuels PCI</w:t>
            </w:r>
          </w:p>
        </w:tc>
        <w:tc>
          <w:tcPr>
            <w:tcW w:type="dxa" w:w="1584"/>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7"/>
              </w:rPr>
              <w:t>500 000</w:t>
            </w:r>
          </w:p>
        </w:tc>
        <w:tc>
          <w:tcPr>
            <w:tcW w:type="dxa" w:w="1152"/>
            <w:shd w:fill="F0F4F8"/>
            <w:tcMar>
              <w:top w:w="80" w:type="dxa"/>
              <w:bottom w:w="8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576"/>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center"/>
            </w:pPr>
            <w:r>
              <w:rPr>
                <w:rFonts w:ascii="Calibri" w:hAnsi="Calibri"/>
                <w:b/>
                <w:color w:val="FFFFFF"/>
                <w:sz w:val="19"/>
              </w:rPr>
            </w:r>
          </w:p>
        </w:tc>
        <w:tc>
          <w:tcPr>
            <w:tcW w:type="dxa" w:w="2592"/>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left"/>
            </w:pPr>
            <w:r>
              <w:rPr>
                <w:rFonts w:ascii="Calibri" w:hAnsi="Calibri"/>
                <w:b/>
                <w:color w:val="FFFFFF"/>
                <w:sz w:val="19"/>
              </w:rPr>
              <w:t>TOTAL GÉNÉRAL CONSOLIDÉ</w:t>
            </w:r>
          </w:p>
        </w:tc>
        <w:tc>
          <w:tcPr>
            <w:tcW w:type="dxa" w:w="4608"/>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left"/>
            </w:pPr>
            <w:r>
              <w:rPr>
                <w:rFonts w:ascii="Calibri" w:hAnsi="Calibri"/>
                <w:b/>
                <w:color w:val="FFFFFF"/>
                <w:sz w:val="19"/>
              </w:rPr>
              <w:t>Ensemble des 17 activités budgétisées</w:t>
            </w:r>
          </w:p>
        </w:tc>
        <w:tc>
          <w:tcPr>
            <w:tcW w:type="dxa" w:w="1728"/>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center"/>
            </w:pPr>
            <w:r>
              <w:rPr>
                <w:rFonts w:ascii="Calibri" w:hAnsi="Calibri"/>
                <w:b/>
                <w:color w:val="FFFFFF"/>
                <w:sz w:val="19"/>
              </w:rPr>
            </w:r>
          </w:p>
        </w:tc>
        <w:tc>
          <w:tcPr>
            <w:tcW w:type="dxa" w:w="2016"/>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center"/>
            </w:pPr>
            <w:r>
              <w:rPr>
                <w:rFonts w:ascii="Calibri" w:hAnsi="Calibri"/>
                <w:b/>
                <w:color w:val="FFFFFF"/>
                <w:sz w:val="19"/>
              </w:rPr>
            </w:r>
          </w:p>
        </w:tc>
        <w:tc>
          <w:tcPr>
            <w:tcW w:type="dxa" w:w="2592"/>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center"/>
            </w:pPr>
            <w:r>
              <w:rPr>
                <w:rFonts w:ascii="Calibri" w:hAnsi="Calibri"/>
                <w:b/>
                <w:color w:val="FFFFFF"/>
                <w:sz w:val="19"/>
              </w:rPr>
            </w:r>
          </w:p>
        </w:tc>
        <w:tc>
          <w:tcPr>
            <w:tcW w:type="dxa" w:w="1584"/>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right"/>
            </w:pPr>
            <w:r>
              <w:rPr>
                <w:rFonts w:ascii="Calibri" w:hAnsi="Calibri"/>
                <w:b/>
                <w:color w:val="FFFFFF"/>
                <w:sz w:val="19"/>
              </w:rPr>
              <w:t>13 490 000 FCFA</w:t>
            </w:r>
          </w:p>
        </w:tc>
        <w:tc>
          <w:tcPr>
            <w:tcW w:type="dxa" w:w="1152"/>
            <w:shd w:fill="C5A059"/>
            <w:tcMar>
              <w:top w:w="100" w:type="dxa"/>
              <w:bottom w:w="100" w:type="dxa"/>
              <w:left w:w="80" w:type="dxa"/>
              <w:right w:w="80" w:type="dxa"/>
            </w:tcMar>
            <w:tcBorders>
              <single w:val="single" w:sz="6" w:space="0" w:color="A07D34"/>
              <single w:val="single" w:sz="6" w:space="0" w:color="A07D34"/>
              <single w:val="single" w:sz="6" w:space="0" w:color="A07D34"/>
              <single w:val="single" w:sz="6" w:space="0" w:color="A07D34"/>
            </w:tcBorders>
          </w:tcPr>
          <w:p>
            <w:pPr>
              <w:jc w:val="center"/>
            </w:pPr>
            <w:r>
              <w:rPr>
                <w:rFonts w:ascii="Calibri" w:hAnsi="Calibri"/>
                <w:b/>
                <w:color w:val="FFFFFF"/>
                <w:sz w:val="19"/>
              </w:rPr>
              <w:t>FP / PTF</w:t>
            </w:r>
          </w:p>
        </w:tc>
      </w:tr>
    </w:tbl>
    <w:p>
      <w:pPr>
        <w:spacing w:before="320" w:after="120"/>
      </w:pPr>
      <w:r>
        <w:rPr>
          <w:rFonts w:ascii="Calibri" w:hAnsi="Calibri"/>
          <w:b/>
          <w:color w:val="1B365D"/>
          <w:sz w:val="24"/>
        </w:rPr>
        <w:t>SYNTHÈSE BUDGÉTAIRE PAR OBJECTIF STRATÉGIQUE</w:t>
      </w:r>
    </w:p>
    <w:tbl>
      <w:tblPr>
        <w:tblW w:type="auto" w:w="0"/>
        <w:jc w:val="center"/>
        <w:tblLayout w:type="fixed"/>
        <w:tblLook w:firstColumn="1" w:firstRow="1" w:lastColumn="0" w:lastRow="0" w:noHBand="0" w:noVBand="1" w:val="04A0"/>
      </w:tblPr>
      <w:tblGrid>
        <w:gridCol w:w="3848"/>
        <w:gridCol w:w="3848"/>
        <w:gridCol w:w="3848"/>
        <w:gridCol w:w="3848"/>
      </w:tblGrid>
      <w:tr>
        <w:trPr>
          <w:cantSplit/>
          <w:tblHeader/>
        </w:trPr>
        <w:tc>
          <w:tcPr>
            <w:tcW w:type="dxa" w:w="6480"/>
            <w:shd w:fill="2C3E50"/>
            <w:tcMar>
              <w:top w:w="100" w:type="dxa"/>
              <w:bottom w:w="100" w:type="dxa"/>
              <w:left w:w="80" w:type="dxa"/>
              <w:right w:w="80" w:type="dxa"/>
            </w:tcMar>
            <w:tcBorders>
              <single w:val="single" w:sz="6" w:space="0" w:color="1B2838"/>
              <single w:val="single" w:sz="6" w:space="0" w:color="1B2838"/>
              <single w:val="single" w:sz="6" w:space="0" w:color="1B2838"/>
              <single w:val="single" w:sz="6" w:space="0" w:color="1B2838"/>
            </w:tcBorders>
          </w:tcPr>
          <w:p>
            <w:pPr>
              <w:jc w:val="center"/>
            </w:pPr>
            <w:r>
              <w:rPr>
                <w:rFonts w:ascii="Calibri" w:hAnsi="Calibri"/>
                <w:b/>
                <w:color w:val="FFFFFF"/>
                <w:sz w:val="19"/>
              </w:rPr>
              <w:t>Objectif Stratégique</w:t>
            </w:r>
          </w:p>
        </w:tc>
        <w:tc>
          <w:tcPr>
            <w:tcW w:type="dxa" w:w="3168"/>
            <w:shd w:fill="2C3E50"/>
            <w:tcMar>
              <w:top w:w="100" w:type="dxa"/>
              <w:bottom w:w="100" w:type="dxa"/>
              <w:left w:w="80" w:type="dxa"/>
              <w:right w:w="80" w:type="dxa"/>
            </w:tcMar>
            <w:tcBorders>
              <single w:val="single" w:sz="6" w:space="0" w:color="1B2838"/>
              <single w:val="single" w:sz="6" w:space="0" w:color="1B2838"/>
              <single w:val="single" w:sz="6" w:space="0" w:color="1B2838"/>
              <single w:val="single" w:sz="6" w:space="0" w:color="1B2838"/>
            </w:tcBorders>
          </w:tcPr>
          <w:p>
            <w:pPr>
              <w:jc w:val="center"/>
            </w:pPr>
            <w:r>
              <w:rPr>
                <w:rFonts w:ascii="Calibri" w:hAnsi="Calibri"/>
                <w:b/>
                <w:color w:val="FFFFFF"/>
                <w:sz w:val="19"/>
              </w:rPr>
              <w:t>Nombre d'activités budgétisées</w:t>
            </w:r>
          </w:p>
        </w:tc>
        <w:tc>
          <w:tcPr>
            <w:tcW w:type="dxa" w:w="3168"/>
            <w:shd w:fill="2C3E50"/>
            <w:tcMar>
              <w:top w:w="100" w:type="dxa"/>
              <w:bottom w:w="100" w:type="dxa"/>
              <w:left w:w="80" w:type="dxa"/>
              <w:right w:w="80" w:type="dxa"/>
            </w:tcMar>
            <w:tcBorders>
              <single w:val="single" w:sz="6" w:space="0" w:color="1B2838"/>
              <single w:val="single" w:sz="6" w:space="0" w:color="1B2838"/>
              <single w:val="single" w:sz="6" w:space="0" w:color="1B2838"/>
              <single w:val="single" w:sz="6" w:space="0" w:color="1B2838"/>
            </w:tcBorders>
          </w:tcPr>
          <w:p>
            <w:pPr>
              <w:jc w:val="center"/>
            </w:pPr>
            <w:r>
              <w:rPr>
                <w:rFonts w:ascii="Calibri" w:hAnsi="Calibri"/>
                <w:b/>
                <w:color w:val="FFFFFF"/>
                <w:sz w:val="19"/>
              </w:rPr>
              <w:t>Montant (FCFA)</w:t>
            </w:r>
          </w:p>
        </w:tc>
        <w:tc>
          <w:tcPr>
            <w:tcW w:type="dxa" w:w="2160"/>
            <w:shd w:fill="2C3E50"/>
            <w:tcMar>
              <w:top w:w="100" w:type="dxa"/>
              <w:bottom w:w="100" w:type="dxa"/>
              <w:left w:w="80" w:type="dxa"/>
              <w:right w:w="80" w:type="dxa"/>
            </w:tcMar>
            <w:tcBorders>
              <single w:val="single" w:sz="6" w:space="0" w:color="1B2838"/>
              <single w:val="single" w:sz="6" w:space="0" w:color="1B2838"/>
              <single w:val="single" w:sz="6" w:space="0" w:color="1B2838"/>
              <single w:val="single" w:sz="6" w:space="0" w:color="1B2838"/>
            </w:tcBorders>
          </w:tcPr>
          <w:p>
            <w:pPr>
              <w:jc w:val="center"/>
            </w:pPr>
            <w:r>
              <w:rPr>
                <w:rFonts w:ascii="Calibri" w:hAnsi="Calibri"/>
                <w:b/>
                <w:color w:val="FFFFFF"/>
                <w:sz w:val="19"/>
              </w:rPr>
              <w:t>Part (%)</w:t>
            </w:r>
          </w:p>
        </w:tc>
      </w:tr>
      <w:tr>
        <w:trPr>
          <w:cantSplit/>
        </w:trPr>
        <w:tc>
          <w:tcPr>
            <w:tcW w:type="dxa" w:w="648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I. PROGRAMME PCI</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2</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2 300 000</w:t>
            </w:r>
          </w:p>
        </w:tc>
        <w:tc>
          <w:tcPr>
            <w:tcW w:type="dxa" w:w="216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17.0 %</w:t>
            </w:r>
          </w:p>
        </w:tc>
      </w:tr>
      <w:tr>
        <w:trPr>
          <w:cantSplit/>
        </w:trPr>
        <w:tc>
          <w:tcPr>
            <w:tcW w:type="dxa" w:w="6480"/>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II. LIGNES DIRECTRICES, PROTOCOLES ET POS</w:t>
            </w:r>
          </w:p>
        </w:tc>
        <w:tc>
          <w:tcPr>
            <w:tcW w:type="dxa" w:w="3168"/>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2</w:t>
            </w:r>
          </w:p>
        </w:tc>
        <w:tc>
          <w:tcPr>
            <w:tcW w:type="dxa" w:w="3168"/>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440 000</w:t>
            </w:r>
          </w:p>
        </w:tc>
        <w:tc>
          <w:tcPr>
            <w:tcW w:type="dxa" w:w="2160"/>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3.3 %</w:t>
            </w:r>
          </w:p>
        </w:tc>
      </w:tr>
      <w:tr>
        <w:trPr>
          <w:cantSplit/>
        </w:trPr>
        <w:tc>
          <w:tcPr>
            <w:tcW w:type="dxa" w:w="648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III. FORMATION ET ÉDUCATION EN PCI</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6</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5 500 000</w:t>
            </w:r>
          </w:p>
        </w:tc>
        <w:tc>
          <w:tcPr>
            <w:tcW w:type="dxa" w:w="216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40.8 %</w:t>
            </w:r>
          </w:p>
        </w:tc>
      </w:tr>
      <w:tr>
        <w:trPr>
          <w:cantSplit/>
        </w:trPr>
        <w:tc>
          <w:tcPr>
            <w:tcW w:type="dxa" w:w="6480"/>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V. SURVEILLANCE DES IAS</w:t>
            </w:r>
          </w:p>
        </w:tc>
        <w:tc>
          <w:tcPr>
            <w:tcW w:type="dxa" w:w="3168"/>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1</w:t>
            </w:r>
          </w:p>
        </w:tc>
        <w:tc>
          <w:tcPr>
            <w:tcW w:type="dxa" w:w="3168"/>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1 000 000</w:t>
            </w:r>
          </w:p>
        </w:tc>
        <w:tc>
          <w:tcPr>
            <w:tcW w:type="dxa" w:w="2160"/>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7.4 %</w:t>
            </w:r>
          </w:p>
        </w:tc>
      </w:tr>
      <w:tr>
        <w:trPr>
          <w:cantSplit/>
        </w:trPr>
        <w:tc>
          <w:tcPr>
            <w:tcW w:type="dxa" w:w="648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VII. SUIVI, AUDITS ET RESTITUTION DES RÉSULTATS</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1</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250 000</w:t>
            </w:r>
          </w:p>
        </w:tc>
        <w:tc>
          <w:tcPr>
            <w:tcW w:type="dxa" w:w="216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1.9 %</w:t>
            </w:r>
          </w:p>
        </w:tc>
      </w:tr>
      <w:tr>
        <w:trPr>
          <w:cantSplit/>
        </w:trPr>
        <w:tc>
          <w:tcPr>
            <w:tcW w:type="dxa" w:w="6480"/>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VIII. CHARGES DE TRAVAIL, DOTATION EN PERSONNEL, GESTION DES DÉCHETS BIOMÉDICAUX ET ENVIRONNEMENT BÂTI (WASH)</w:t>
            </w:r>
          </w:p>
        </w:tc>
        <w:tc>
          <w:tcPr>
            <w:tcW w:type="dxa" w:w="3168"/>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4</w:t>
            </w:r>
          </w:p>
        </w:tc>
        <w:tc>
          <w:tcPr>
            <w:tcW w:type="dxa" w:w="3168"/>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3 500 000</w:t>
            </w:r>
          </w:p>
        </w:tc>
        <w:tc>
          <w:tcPr>
            <w:tcW w:type="dxa" w:w="2160"/>
            <w:shd w:fill="F9FBFC"/>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25.9 %</w:t>
            </w:r>
          </w:p>
        </w:tc>
      </w:tr>
      <w:tr>
        <w:trPr>
          <w:cantSplit/>
        </w:trPr>
        <w:tc>
          <w:tcPr>
            <w:tcW w:type="dxa" w:w="648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8"/>
              </w:rPr>
              <w:t>VI. COMMUNICATION SUR LA PCI</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8"/>
              </w:rPr>
              <w:t>1</w:t>
            </w:r>
          </w:p>
        </w:tc>
        <w:tc>
          <w:tcPr>
            <w:tcW w:type="dxa" w:w="3168"/>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500 000</w:t>
            </w:r>
          </w:p>
        </w:tc>
        <w:tc>
          <w:tcPr>
            <w:tcW w:type="dxa" w:w="2160"/>
            <w:shd w:fill="FFFFFF"/>
            <w:tcMar>
              <w:top w:w="70" w:type="dxa"/>
              <w:bottom w:w="70" w:type="dxa"/>
              <w:left w:w="80" w:type="dxa"/>
              <w:right w:w="80" w:type="dxa"/>
            </w:tcMar>
            <w:tcBorders>
              <single w:val="single" w:sz="4" w:space="0" w:color="D3D3D3"/>
              <single w:val="single" w:sz="4" w:space="0" w:color="D3D3D3"/>
              <single w:val="single" w:sz="4" w:space="0" w:color="D3D3D3"/>
              <single w:val="single" w:sz="4" w:space="0" w:color="D3D3D3"/>
            </w:tcBorders>
          </w:tcPr>
          <w:p>
            <w:pPr>
              <w:jc w:val="right"/>
            </w:pPr>
            <w:r>
              <w:rPr>
                <w:rFonts w:ascii="Calibri" w:hAnsi="Calibri"/>
                <w:b/>
                <w:color w:val="1B365D"/>
                <w:sz w:val="18"/>
              </w:rPr>
              <w:t>3.7 %</w:t>
            </w:r>
          </w:p>
        </w:tc>
      </w:tr>
      <w:tr>
        <w:trPr>
          <w:cantSplit/>
        </w:trPr>
        <w:tc>
          <w:tcPr>
            <w:tcW w:type="dxa" w:w="6480"/>
            <w:shd w:fill="1B365D"/>
            <w:tcMar>
              <w:top w:w="80" w:type="dxa"/>
              <w:bottom w:w="80" w:type="dxa"/>
              <w:left w:w="80" w:type="dxa"/>
              <w:right w:w="80" w:type="dxa"/>
            </w:tcMar>
            <w:tcBorders>
              <single w:val="single" w:sz="6" w:space="0" w:color="0F203C"/>
              <single w:val="single" w:sz="6" w:space="0" w:color="0F203C"/>
              <single w:val="single" w:sz="6" w:space="0" w:color="0F203C"/>
              <single w:val="single" w:sz="6" w:space="0" w:color="0F203C"/>
            </w:tcBorders>
          </w:tcPr>
          <w:p>
            <w:pPr>
              <w:jc w:val="left"/>
            </w:pPr>
            <w:r>
              <w:rPr>
                <w:rFonts w:ascii="Calibri" w:hAnsi="Calibri"/>
                <w:b/>
                <w:color w:val="FFFFFF"/>
                <w:sz w:val="19"/>
              </w:rPr>
              <w:t>TOTAL GÉNÉRAL</w:t>
            </w:r>
          </w:p>
        </w:tc>
        <w:tc>
          <w:tcPr>
            <w:tcW w:type="dxa" w:w="3168"/>
            <w:shd w:fill="1B365D"/>
            <w:tcMar>
              <w:top w:w="80" w:type="dxa"/>
              <w:bottom w:w="80" w:type="dxa"/>
              <w:left w:w="80" w:type="dxa"/>
              <w:right w:w="8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17</w:t>
            </w:r>
          </w:p>
        </w:tc>
        <w:tc>
          <w:tcPr>
            <w:tcW w:type="dxa" w:w="3168"/>
            <w:shd w:fill="1B365D"/>
            <w:tcMar>
              <w:top w:w="80" w:type="dxa"/>
              <w:bottom w:w="80" w:type="dxa"/>
              <w:left w:w="80" w:type="dxa"/>
              <w:right w:w="80" w:type="dxa"/>
            </w:tcMar>
            <w:tcBorders>
              <single w:val="single" w:sz="6" w:space="0" w:color="0F203C"/>
              <single w:val="single" w:sz="6" w:space="0" w:color="0F203C"/>
              <single w:val="single" w:sz="6" w:space="0" w:color="0F203C"/>
              <single w:val="single" w:sz="6" w:space="0" w:color="0F203C"/>
            </w:tcBorders>
          </w:tcPr>
          <w:p>
            <w:pPr>
              <w:jc w:val="right"/>
            </w:pPr>
            <w:r>
              <w:rPr>
                <w:rFonts w:ascii="Calibri" w:hAnsi="Calibri"/>
                <w:b/>
                <w:color w:val="FFFFFF"/>
                <w:sz w:val="19"/>
              </w:rPr>
              <w:t>13 490 000 FCFA</w:t>
            </w:r>
          </w:p>
        </w:tc>
        <w:tc>
          <w:tcPr>
            <w:tcW w:type="dxa" w:w="2160"/>
            <w:shd w:fill="1B365D"/>
            <w:tcMar>
              <w:top w:w="80" w:type="dxa"/>
              <w:bottom w:w="80" w:type="dxa"/>
              <w:left w:w="80" w:type="dxa"/>
              <w:right w:w="80" w:type="dxa"/>
            </w:tcMar>
            <w:tcBorders>
              <single w:val="single" w:sz="6" w:space="0" w:color="0F203C"/>
              <single w:val="single" w:sz="6" w:space="0" w:color="0F203C"/>
              <single w:val="single" w:sz="6" w:space="0" w:color="0F203C"/>
              <single w:val="single" w:sz="6" w:space="0" w:color="0F203C"/>
            </w:tcBorders>
          </w:tcPr>
          <w:p>
            <w:pPr>
              <w:jc w:val="right"/>
            </w:pPr>
            <w:r>
              <w:rPr>
                <w:rFonts w:ascii="Calibri" w:hAnsi="Calibri"/>
                <w:b/>
                <w:color w:val="FFFFFF"/>
                <w:sz w:val="19"/>
              </w:rPr>
              <w:t>100.0 %</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