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32"/>
        </w:rPr>
        <w:t>PLAN STRATÉGIQUE DE PRÉVENTION ET CONTRÔLE DES INFECTIONS (2026-2030)</w:t>
        <w:br/>
      </w:r>
      <w:r>
        <w:rPr>
          <w:rFonts w:ascii="Calibri" w:hAnsi="Calibri"/>
          <w:i/>
          <w:color w:val="505050"/>
          <w:sz w:val="22"/>
        </w:rPr>
        <w:t>CENTRE HOSPITALIER UNIVERSITAIRE DE LA MÈRE ET DE L'ENFANT LAGUNE (CHUMEL)</w:t>
        <w:br/>
        <w:t>Cadre Programmatique Pluriannuel fondé sur les Activités Continues et Récurrentes</w:t>
      </w:r>
    </w:p>
    <w:p>
      <w:pPr>
        <w:spacing w:before="120" w:after="240"/>
      </w:pPr>
      <w:r>
        <w:rPr>
          <w:rFonts w:ascii="Calibri" w:hAnsi="Calibri"/>
          <w:i/>
          <w:color w:val="2C3E50"/>
          <w:sz w:val="19"/>
        </w:rPr>
        <w:t>Note de cadrage stratégique : Le présent Plan Stratégique pérennise l'ensemble des interventions structurelles indispensables à la sécurité des soins au CHUMEL. Conformément aux orientations de la Direction et du CLIN, il retient exclusivement les activités continues, récurrentes et annuelles (gouvernance permanente, formation annuelle obligatoire, surveillance sentinelle hebdomadaire, audits réguliers, contrôle microbiologique de routine et maintenance WASH continue).</w:t>
      </w:r>
    </w:p>
    <w:tbl>
      <w:tblPr>
        <w:tblW w:type="auto" w:w="0"/>
        <w:jc w:val="center"/>
        <w:tblLayout w:type="fixed"/>
        <w:tblLook w:firstColumn="1" w:firstRow="1" w:lastColumn="0" w:lastRow="0" w:noHBand="0" w:noVBand="1" w:val="04A0"/>
      </w:tblPr>
      <w:tblGrid>
        <w:gridCol w:w="2199"/>
        <w:gridCol w:w="2199"/>
        <w:gridCol w:w="2199"/>
        <w:gridCol w:w="2199"/>
        <w:gridCol w:w="2199"/>
        <w:gridCol w:w="2199"/>
        <w:gridCol w:w="2199"/>
      </w:tblGrid>
      <w:tr>
        <w:trPr>
          <w:cantSplit/>
          <w:tblHeader/>
        </w:trPr>
        <w:tc>
          <w:tcPr>
            <w:tcW w:type="dxa" w:w="2160"/>
            <w:shd w:fill="1B365D"/>
            <w:tcMar>
              <w:top w:w="120" w:type="dxa"/>
              <w:bottom w:w="120" w:type="dxa"/>
              <w:left w:w="100" w:type="dxa"/>
              <w:right w:w="10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Axe Stratégique</w:t>
            </w:r>
          </w:p>
        </w:tc>
        <w:tc>
          <w:tcPr>
            <w:tcW w:type="dxa" w:w="2160"/>
            <w:shd w:fill="1B365D"/>
            <w:tcMar>
              <w:top w:w="120" w:type="dxa"/>
              <w:bottom w:w="120" w:type="dxa"/>
              <w:left w:w="100" w:type="dxa"/>
              <w:right w:w="10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Intervention Clé</w:t>
            </w:r>
          </w:p>
        </w:tc>
        <w:tc>
          <w:tcPr>
            <w:tcW w:type="dxa" w:w="4608"/>
            <w:shd w:fill="1B365D"/>
            <w:tcMar>
              <w:top w:w="120" w:type="dxa"/>
              <w:bottom w:w="120" w:type="dxa"/>
              <w:left w:w="100" w:type="dxa"/>
              <w:right w:w="10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Activité Continue / Récurrente</w:t>
            </w:r>
          </w:p>
        </w:tc>
        <w:tc>
          <w:tcPr>
            <w:tcW w:type="dxa" w:w="1872"/>
            <w:shd w:fill="1B365D"/>
            <w:tcMar>
              <w:top w:w="120" w:type="dxa"/>
              <w:bottom w:w="120" w:type="dxa"/>
              <w:left w:w="100" w:type="dxa"/>
              <w:right w:w="10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Périodicité / Fréquence</w:t>
            </w:r>
          </w:p>
        </w:tc>
        <w:tc>
          <w:tcPr>
            <w:tcW w:type="dxa" w:w="1728"/>
            <w:shd w:fill="1B365D"/>
            <w:tcMar>
              <w:top w:w="120" w:type="dxa"/>
              <w:bottom w:w="120" w:type="dxa"/>
              <w:left w:w="100" w:type="dxa"/>
              <w:right w:w="10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Responsable de pilotage</w:t>
            </w:r>
          </w:p>
        </w:tc>
        <w:tc>
          <w:tcPr>
            <w:tcW w:type="dxa" w:w="2736"/>
            <w:shd w:fill="1B365D"/>
            <w:tcMar>
              <w:top w:w="120" w:type="dxa"/>
              <w:bottom w:w="120" w:type="dxa"/>
              <w:left w:w="100" w:type="dxa"/>
              <w:right w:w="10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Indicateurs de performance stratégique</w:t>
            </w:r>
          </w:p>
        </w:tc>
        <w:tc>
          <w:tcPr>
            <w:tcW w:type="dxa" w:w="1152"/>
            <w:shd w:fill="1B365D"/>
            <w:tcMar>
              <w:top w:w="120" w:type="dxa"/>
              <w:bottom w:w="120" w:type="dxa"/>
              <w:left w:w="100" w:type="dxa"/>
              <w:right w:w="100" w:type="dxa"/>
            </w:tcMar>
            <w:tcBorders>
              <single w:val="single" w:sz="6" w:space="0" w:color="0F203C"/>
              <single w:val="single" w:sz="6" w:space="0" w:color="0F203C"/>
              <single w:val="single" w:sz="6" w:space="0" w:color="0F203C"/>
              <single w:val="single" w:sz="6" w:space="0" w:color="0F203C"/>
            </w:tcBorders>
          </w:tcPr>
          <w:p>
            <w:pPr>
              <w:jc w:val="center"/>
            </w:pPr>
            <w:r>
              <w:rPr>
                <w:rFonts w:ascii="Calibri" w:hAnsi="Calibri"/>
                <w:b/>
                <w:color w:val="FFFFFF"/>
                <w:sz w:val="19"/>
              </w:rPr>
              <w:t>Financement</w:t>
            </w:r>
          </w:p>
        </w:tc>
      </w:tr>
      <w:tr>
        <w:trPr>
          <w:cantSplit/>
        </w:trPr>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1B365D"/>
                <w:sz w:val="17"/>
              </w:rPr>
              <w:t>I. PROGRAMME PCI</w:t>
            </w:r>
          </w:p>
        </w:tc>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1.1. Renforcement de la gouvernance et de la structure institutionnelle de PCI</w:t>
            </w:r>
          </w:p>
        </w:tc>
        <w:tc>
          <w:tcPr>
            <w:tcW w:type="dxa" w:w="460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1.1.2. Restructurer l’Équipe Opérationnelle de PCI (EOPCI)</w:t>
            </w:r>
          </w:p>
        </w:tc>
        <w:tc>
          <w:tcPr>
            <w:tcW w:type="dxa" w:w="187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Point focal PCI</w:t>
            </w:r>
          </w:p>
        </w:tc>
        <w:tc>
          <w:tcPr>
            <w:tcW w:type="dxa" w:w="2736"/>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Composition antérieure nécessitant réajustement</w:t>
              <w:br/>
              <w:t>Cible: Note de service portant restructuration de l'EOPCI signée</w:t>
            </w:r>
          </w:p>
        </w:tc>
        <w:tc>
          <w:tcPr>
            <w:tcW w:type="dxa" w:w="115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Néant</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1.1. Renforcement de la gouvernance et de la structure institutionnelle de PCI</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1.1.4. Restructurer le Comité de Lutte contre les Infections Nosocomiales (CLIN)</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CLIN</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Mandat des membres arrivé à échéance</w:t>
              <w:br/>
              <w:t>Cible: Note de service portant composition actualisée du CLIN signée</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Néant</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 Fonctionnement, animation et planification du programme PCI</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1.2.1. Organiser les réunions hebdomadaires de l’équipe opérationnelle de PCI (EOPCI)</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Hebdomadaire (Continue)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Point focal / EOPCI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Réunions d'équipe irrégulières</w:t>
              <w:br/>
              <w:t>Cible: 48 à 52 comptes-rendus de réunions hebdomadaires disponibles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 / Néant</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 Fonctionnement, animation et planification du programme PCI</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1.2.2. Organiser les réunions trimestrielles du Comité de Lutte contre les Infections Nosocomiales (CLIN)</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Trimestrielle (Continue)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Président CLIN / Point focal PCI</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CLIN réuni de façon sporadique</w:t>
              <w:br/>
              <w:t>Cible: 4 sessions statutaires du CLIN tenues avec PV de délibération</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 Fonctionnement, animation et planification du programme PCI</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1.2.3. Assurer le suivi rapproché de la mise en œuvre des décisions du CLIN et de l'EOPCI</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Continue / Permanente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DAF / Direction des Soins</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Faible traçabilité de l'exécution des résolutions</w:t>
              <w:br/>
              <w:t>Cible: Tableau de bord trimestriel de suivi des recommandations renseigné à 100%</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Néant</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 Fonctionnement, animation et planification du programme PCI</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1.2.4. Élaborer le Plan de Travail Annuel (PTA) et le budget PCI</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Point focal / EOPCI</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Plan d'action antérieur échu</w:t>
              <w:br/>
              <w:t>Cible: Document complet du PTA et budget PCI rédigé et disponible</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 Fonctionnement, animation et planification du programme PCI</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Organiser l’atelier de Validation du plan stratégique, du PTA, du PO et du budget</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CLIN / Point focal 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Projets de plan stratégique, PTA, PO et budget non validés</w:t>
              <w:br/>
              <w:t>Cible: Plan stratégique, PTA, PO et budget validés par acte officiel</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 Fonctionnement, animation et planification du programme PCI</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1.2.5. Approuver officiellement le plan élaboré selon les exigences de la Direction Générale</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PTA validé en atelier mais non encore formalisé par décision</w:t>
              <w:br/>
              <w:t>Cible: PTA officiellement approuvé par décision de la Direction Générale</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Néant</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 Fonctionnement, animation et planification du programme PCI</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1.2.6. Disséminer et vulgariser le PTA PCI auprès de l'ensemble des départements et pôles</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Point focal / EOPCI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PTA non vulgarisé auprès des chefs de pôle et majors</w:t>
              <w:br/>
              <w:t>Cible: Bordereau de transmission et séances de briefing tenues dans tous les pôles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 Fonctionnement, animation et planification du programme PCI</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1.2.7. Intégrer le PTA et le budget PCI au Plan Intégré de Travail et Budget Annuel (PITBA) de l'hôpital</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DAF / Point focal PCI</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Lignes budgétaires PCI dispersées</w:t>
              <w:br/>
              <w:t>Cible: Lignes budgétaires PCI sanctuarisées dans le budget consolidé de l'hôpital</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Néant</w:t>
            </w:r>
          </w:p>
        </w:tc>
      </w:tr>
      <w:tr>
        <w:trPr>
          <w:cantSplit/>
        </w:trPr>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1B365D"/>
                <w:sz w:val="17"/>
              </w:rPr>
              <w:t>III. FORMATION ET ÉDUCATION EN PCI</w:t>
            </w:r>
          </w:p>
        </w:tc>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3.1. Planification et formation continue du personnel soignant et médico-technique</w:t>
            </w:r>
          </w:p>
        </w:tc>
        <w:tc>
          <w:tcPr>
            <w:tcW w:type="dxa" w:w="460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3.1.1. Faire un planning annuel de formation du personnel hospitalier en PCI :</w:t>
              <w:br/>
              <w:t>- Recueillir et analyser les besoins en formation</w:t>
              <w:br/>
              <w:t>- Élaborer les modules pédagogiques et le calendrier annuel</w:t>
            </w:r>
          </w:p>
        </w:tc>
        <w:tc>
          <w:tcPr>
            <w:tcW w:type="dxa" w:w="187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Point focal / EOPCI</w:t>
            </w:r>
          </w:p>
        </w:tc>
        <w:tc>
          <w:tcPr>
            <w:tcW w:type="dxa" w:w="2736"/>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Formations antérieures non programmées</w:t>
              <w:br/>
              <w:t>Cible: Plan annuel de formation PCI validé et notifié aux services</w:t>
            </w:r>
          </w:p>
        </w:tc>
        <w:tc>
          <w:tcPr>
            <w:tcW w:type="dxa" w:w="115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3.1. Planification et formation continue du personnel soignant et médico-technique</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3.1.2. Faire un planning de formation continue et de perfectionnement pour l'équipe PCI et les formateurs internes</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Point focal / CLIN</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Mise à jour hétérogène des compétences des encadreurs</w:t>
              <w:br/>
              <w:t>Cible: Planning de formation de formateurs formalisé</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3.1. Planification et formation continue du personnel soignant et médico-technique</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3.1.3. Former l'ensemble du personnel soignant aux Précautions Standard et Précautions Complémentaires une fois par an (focus COVID-19, Fièvre de Lassa, Mpox) :</w:t>
              <w:br/>
              <w:t>- Diffuser les notes de service et plannings de passage</w:t>
              <w:br/>
              <w:t>- Dispenser les sessions modulaires (300 professionnels ciblés)</w:t>
              <w:br/>
              <w:t>- Réaliser les pré-tests et post-tests de compétences</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Formateurs internes / EOPCI / DG</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Personnel soignant non recyclé aux précautions standard</w:t>
              <w:br/>
              <w:t>Cible: Au moins 300 soignants formés avec gain moyen de compétences &gt; 40%</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3.1. Planification et formation continue du personnel soignant et médico-technique</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Organiser les sessions sur les techniques de lavage des mains au personnel des services hospitaliers et connexes - Sensibilisation des agents sur les techniques de lavage des mains</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Formateurs internes / EOPCI</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Pratiques empiriques de friction et lavage des mains observées</w:t>
              <w:br/>
              <w:t>Cible: 100% des agents des unités ciblées sensibilisés et évalués par boîte à coucou / friction</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3.2. Formation pratique des agents d'entretien et aides-soignants sur le bionettoyage et la gestion des déchets biomédicaux</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3.2.1. Organiser des sessions pratiques de formation des agents d’entretien et aides-soignants sur le bionettoyage et la gestion des déchets hospitaliers :</w:t>
              <w:br/>
              <w:t>- Techniques de bionettoyage (du plus propre vers le plus sale)</w:t>
              <w:br/>
              <w:t>- Dilution et dosage corrects des détergents-désinfectants</w:t>
              <w:br/>
              <w:t>- Gestion sécurisée des excréta et du linge souillé (300 agents ciblés)</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Formateurs internes / EOPCI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Pratiques empiriques de nettoyage et erreurs fréquentes de dilution</w:t>
              <w:br/>
              <w:t>Cible: 300 agents d'entretien et aides-soignants formés et évalués sur site</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3.3. Éducation sanitaire des usagers et accompagnants</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3.3.1. Organiser des séances régulières d'éducation et de sensibilisation sur les pratiques d’hygiène de base pour les patients et les accompagnants :</w:t>
              <w:br/>
              <w:t>- Hygiène des mains et utilisation correcte des distributeurs de savon/PHA</w:t>
              <w:br/>
              <w:t>- Propreté des chambres et tri des déchets ménagers</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Continue / Permanente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Points focaux services / Service social</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Absence de sensibilisation structurée des usagers</w:t>
              <w:br/>
              <w:t>Cible: Au moins 2 séances d'éducation tenues par semaine dans les salles d'attente et hospitalisation</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3.4. Participation aux congrès scientifiques et journées thématiques</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3.3.2. Assurer la participation de la délégation du CHUMEL aux congrès scientifiques de PCI (SB2HPCI / HBEEPTI) (15 membres ciblés)</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Point focal 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Participation irrégulière aux manifestations scientifiques nationales de PCI</w:t>
              <w:br/>
              <w:t>Cible: 15 professionnels ayant participé aux congrès avec communications orales/posters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7.3. Journée mondiale de l'hygiène des mains et restitution des données</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7.3.1. Faire une journée de l’hygiène des mains (organisation et célébration de la Journée internationale du 5 mai 2027 «Sauvez des vies : nettoyez-vous les mains») :</w:t>
              <w:br/>
              <w:t>- Conférences thématiques et ateliers de démonstration pratique</w:t>
              <w:br/>
              <w:t>- Concours d'émulation du service le plus observant avec remise de prix</w:t>
              <w:br/>
              <w:t>- Distribution de flacons individuels de solution hydro-alcoolique (PHA)</w:t>
              <w:br/>
              <w:t>- Stands d'information grand public et couverture médiatique</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(Chaque 5 mai)</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CLIN / EOPCI / DG</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Célébration ponctuelle sans concours d'émulation formalisé</w:t>
              <w:br/>
              <w:t>Cible: Journée célébrée, 1 service lauréat primé et 500 flacons individuels de PHA distribués</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 / PTF</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3.4. Participation aux congrès scientifiques et journées thématiques</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Participer au congrès de la médecine hospitalière EOPCI</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DG / CLIN / EOPCI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Absence d'échanges d'expériences inter-hospitalières récentes</w:t>
              <w:br/>
              <w:t>Cible: Délégation CHUMEL ayant présenté un retour d'expérience au congrès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1B365D"/>
                <w:sz w:val="17"/>
              </w:rPr>
              <w:t>V. SURVEILLANCE DES IAS</w:t>
            </w:r>
          </w:p>
        </w:tc>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5.1. Dispositif de surveillance épidémiologique des infections associées aux soins</w:t>
            </w:r>
          </w:p>
        </w:tc>
        <w:tc>
          <w:tcPr>
            <w:tcW w:type="dxa" w:w="460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5.1.2. Organiser des enquêtes épidémiologiques sur les IAS (une enquête dans les départements d’intérêts au CHU-MEL)</w:t>
            </w:r>
          </w:p>
        </w:tc>
        <w:tc>
          <w:tcPr>
            <w:tcW w:type="dxa" w:w="187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Équipes de soins</w:t>
            </w:r>
          </w:p>
        </w:tc>
        <w:tc>
          <w:tcPr>
            <w:tcW w:type="dxa" w:w="2736"/>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Taux de prévalence global des IAS au CHUMEL non réévalué</w:t>
              <w:br/>
              <w:t>Cible: 1 enquête exhaustive de prévalence réalisée avec rapport épidémiologique diffusé</w:t>
            </w:r>
          </w:p>
        </w:tc>
        <w:tc>
          <w:tcPr>
            <w:tcW w:type="dxa" w:w="115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5.1. Dispositif de surveillance épidémiologique des infections associées aux soins</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Organiser la collecte hebdomadaire de données sur les IAS par les points focaux IAS de service</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Continue / Permanente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Points focaux IAS / EOPCI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Déclaration opportuniste et retardée des cas d'infections</w:t>
              <w:br/>
              <w:t>Cible: Fiches de recueil hebdomadaire transmises chaque semaine par 100% des services sentinelles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5.1. Dispositif de surveillance épidémiologique des infections associées aux soins</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Faire une analyse hebdomadaire - Présenter les résultats à la réunion hebdomadaire de l’EOPCI</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Continue / Permanente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Données collectées non synthétisées pour l'action</w:t>
              <w:br/>
              <w:t>Cible: Tableau de bord hebdomadaire des IAS examiné à chaque réunion d'équipe</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5.2. Microbiologie hospitalière et recherche des germes nosocomiaux</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5.2.1. Intégrer les aspects d’analyse microbiologique et de contrôle environnemental dans les activités régulières du laboratoire du CHUMEL :</w:t>
              <w:br/>
              <w:t>- Standardiser les techniques de prélèvement d'air, d'eau et de surfaces</w:t>
              <w:br/>
              <w:t>- Ouvrir un registre dédié aux contrôles bactériologiques d'hygiène</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Chef Service Laboratoire / EOPCI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Contrôles bactériologiques environnementaux non inscrits dans la routine du laboratoire</w:t>
              <w:br/>
              <w:t>Cible: Procédure d'analyse environnementale validée et registre de traçabilité ouvert au laboratoire</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Néant</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5.2. Microbiologie hospitalière et recherche des germes nosocomiaux</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5.2.2. Exécuter le programme annuel de recherche des germes nosocomiaux et profils de résistance aux antibiotiques (33 processus / séries de prélèvements environnementaux et sentinelles) :</w:t>
              <w:br/>
              <w:t>- Prélèvements de surfaces dans les blocs opératoires, réanimation, néonatologie et biberonnerie</w:t>
              <w:br/>
              <w:t>- Contrôle bactériologique de l'air et de la stérilisation</w:t>
              <w:br/>
              <w:t>- Isolement des bactéries multirésistantes (BMR) et établissement des antibiogrammes</w:t>
              <w:br/>
              <w:t>- Analyser les alertes infectieuses et incidents de la semaine</w:t>
              <w:br/>
              <w:t>- Coordonner les activités de terrain et les supervisions</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Continue / Permanente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Laboratoire de bactériologie / EOPCI</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Données sporadiques d'écologie bactérienne hospitalière</w:t>
              <w:br/>
              <w:t>Cible: 33 séries de contrôles microbiologiques exécutées avec cartographie complète de l'écologie microbienne du CHUMEL</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1B365D"/>
                <w:sz w:val="17"/>
              </w:rPr>
              <w:t>VII. SUIVI, AUDITS ET RESTITUTION DES RÉSULTATS</w:t>
            </w:r>
          </w:p>
        </w:tc>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7.1. Dispositif de mesure, indicateurs et équipements informatiques de suivi-évaluation</w:t>
            </w:r>
          </w:p>
        </w:tc>
        <w:tc>
          <w:tcPr>
            <w:tcW w:type="dxa" w:w="460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7.1.3. Doter l'unité PCI en matériels informatiques et de bureau indispensables au recueil statistique et à la gestion documentaire :</w:t>
              <w:br/>
              <w:t>- 1 Ordinateur portable dédié aux données PCI</w:t>
              <w:br/>
              <w:t>- 1 Imprimante multifonction (impression des grilles et rapports)</w:t>
              <w:br/>
              <w:t>- 1 Disque dur SSD externe 1 To et 1 clé USB 32 Go (sauvegarde et archivage)</w:t>
              <w:br/>
              <w:t>- 1 Armoire de rangement sécurisée des archives du CLIN</w:t>
              <w:br/>
              <w:t>- Fournitures de bureau</w:t>
            </w:r>
          </w:p>
        </w:tc>
        <w:tc>
          <w:tcPr>
            <w:tcW w:type="dxa" w:w="187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Continue / Permanente</w:t>
            </w:r>
          </w:p>
        </w:tc>
        <w:tc>
          <w:tcPr>
            <w:tcW w:type="dxa" w:w="172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DAF / EOPCI</w:t>
            </w:r>
          </w:p>
        </w:tc>
        <w:tc>
          <w:tcPr>
            <w:tcW w:type="dxa" w:w="2736"/>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Matériels informatiques semi-fonctionnels risquant de céder à tout moment</w:t>
              <w:br/>
              <w:t>Cible: Unité PCI dotée d'équipements informatiques et d'une armoire de rangement neufs et fonctionnels</w:t>
            </w:r>
          </w:p>
        </w:tc>
        <w:tc>
          <w:tcPr>
            <w:tcW w:type="dxa" w:w="115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7.2. Évaluations mensuelles et audits cliniques des pratiques de soins</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7.2.1. Faire une fois par mois l’évaluation de l’hygiène des mains dans les services de soins (évaluation observationnelle de l'observance sur 500 opportunités par trimestre)</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Mensuelle (Continue)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Points focaux</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Taux d'observance initial méconnu ou &lt; 40%</w:t>
              <w:br/>
              <w:t>Cible: 12 rapports d'évaluation mensuelle ; taux d'observance global cible supérieur à 70%</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7.2. Évaluations mensuelles et audits cliniques des pratiques de soins</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7.2.3. Réaliser des audits internes PCI trimestriels sur la gestion des cathéters veineux, la gestion des DBM et le bionettoyage dans l'ensemble des services</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Trimestrielle (Continue)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CLIN</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Audits cliniques sporadiques sans planification</w:t>
              <w:br/>
              <w:t>Cible: 4 rapports d'audit interne produits assortis de plans de correction validés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7.2. Évaluations mensuelles et audits cliniques des pratiques de soins</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Realiser un suivi mensuel de la qualité de la gestion des déchets biomédicaux</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Mensuelle (Continue)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Service Salubrité</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Anomalies de tri et de pesée non corrigées rapidement</w:t>
              <w:br/>
              <w:t>Cible: 12 grilles de contrôle mensuel de la filière DBM renseignées et archivées</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7.3. Restitution des audits et feedback aux équipes</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7.3.2. Élaborer un plan de restitution des audits aux parties prenantes et animer les réunions trimestrielles de restitution et retour d'information (feedback)</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Trimestrielle (Continue)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CLIN</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Absence de circuit formalisé de feedback des résultats aux équipes soignantes</w:t>
              <w:br/>
              <w:t>Cible: Plan de restitution validé et 4 réunions trimestrielles de feedback tenues auprès des chefs de pôles et majors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1B365D"/>
                <w:sz w:val="17"/>
              </w:rPr>
              <w:t>VIII. CHARGES DE TRAVAIL, DOTATION EN PERSONNEL, GESTION DES DÉCHETS BIOMÉDICAUX ET ENVIRONNEMENT BÂTI (WASH)</w:t>
            </w:r>
          </w:p>
        </w:tc>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8.1. Charge de travail, dotation en personnel et capacité d'accueil</w:t>
            </w:r>
          </w:p>
        </w:tc>
        <w:tc>
          <w:tcPr>
            <w:tcW w:type="dxa" w:w="460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8.1.1. Faire l’évaluation de la charge de travail, du niveau de dotation en personnel soignant au CHUMEL, ainsi que de l’occupation des lits et de leurs espacements dans les pôles d'hospitalisation</w:t>
            </w:r>
          </w:p>
        </w:tc>
        <w:tc>
          <w:tcPr>
            <w:tcW w:type="dxa" w:w="187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DSIO / DRH</w:t>
            </w:r>
          </w:p>
        </w:tc>
        <w:tc>
          <w:tcPr>
            <w:tcW w:type="dxa" w:w="2736"/>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Promiscuité des lits et surcharge de travail non quantifiées objectivement</w:t>
              <w:br/>
              <w:t>Cible: Rapport d'évaluation disponible préconisant le respect de l'espacement minimal d'1 mètre et l'adaptation des ratios</w:t>
            </w:r>
          </w:p>
        </w:tc>
        <w:tc>
          <w:tcPr>
            <w:tcW w:type="dxa" w:w="115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8.2. Gestion sécurisée et filière d'élimination des Déchets Biomédicaux (DBM)</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8.2.1. Superviser mensuellement la gestion des déchets biomédicaux dans les services (tri à la source, conditionnement en sacs jaunes, pesée/tonnage, transport interne et stockage temporaire)</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Mensuelle (Continue)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Service Salubrité</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Mélanges fréquents de déchets et ruptures de sacs poubelles</w:t>
              <w:br/>
              <w:t>Cible: 12 rapports mensuels de supervision ; taux de conformité du tri à la source supérieur à 80%</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Néant</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8.2. Gestion sécurisée et filière d'élimination des Déchets Biomédicaux (DBM)</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8.2.3. superviser la disponibilité des équipements du lavage des mains, du bionetoyage du lavage et sterilisation des linges et équipements médicaux</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DAF / Économat / EOPCI</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Poubelles vétustes, absence de pédale sur plusieurs postes, absence de pesée systématique</w:t>
              <w:br/>
              <w:t>Cible: 50 poubelles à pédale neuves réparties dans les unités et 1 système de pesage/tonnage fonctionnel</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 Eau, assainissement, contrôle des désinfectants et approvisionnement en consommables (WASH)</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8.3.1. Vérifier la qualité de l’eau une fois par an (analyses physico-chimiques et bactériologiques des forages, réservoirs de stockage et robinets de soins par un laboratoire agréé)</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C5A059"/>
                <w:sz w:val="17"/>
              </w:rPr>
              <w:t>Annuelle (Récurrente chaque exercice)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DST / Laboratoire d'Hygiène de l'Eau</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Absence de contrôle bactériologique annuel certifié</w:t>
              <w:br/>
              <w:t>Cible: Rapport officiel attestant la potabilité de l'eau distribuée délivré et mesures correctives prises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 Eau, assainissement, contrôle des désinfectants et approvisionnement en consommables (WASH)</w:t>
            </w:r>
          </w:p>
        </w:tc>
        <w:tc>
          <w:tcPr>
            <w:tcW w:type="dxa" w:w="460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8.3.2. Vérifier la qualité et la concentration des matériels et produits de désinfection (titrage régulier du chlore actif de l'eau de javel et conformité des solutions hydro-alcooliques)</w:t>
            </w:r>
          </w:p>
        </w:tc>
        <w:tc>
          <w:tcPr>
            <w:tcW w:type="dxa" w:w="187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Trimestrielle (Continue)</w:t>
            </w:r>
          </w:p>
        </w:tc>
        <w:tc>
          <w:tcPr>
            <w:tcW w:type="dxa" w:w="1728"/>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Pharmacie hospitalière / Laboratoire / EOPCI</w:t>
            </w:r>
          </w:p>
        </w:tc>
        <w:tc>
          <w:tcPr>
            <w:tcW w:type="dxa" w:w="2736"/>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Dilutions artisanales non titrées au chloromètre</w:t>
              <w:br/>
              <w:t>Cible: 4 rapports trimestriels de contrôle de qualité et de titrage du chlore actif validés</w:t>
            </w:r>
          </w:p>
        </w:tc>
        <w:tc>
          <w:tcPr>
            <w:tcW w:type="dxa" w:w="1152"/>
            <w:shd w:fill="F9FBFC"/>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r>
          </w:p>
        </w:tc>
        <w:tc>
          <w:tcPr>
            <w:tcW w:type="dxa" w:w="2160"/>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 Eau, assainissement, contrôle des désinfectants et approvisionnement en consommables (WASH)</w:t>
            </w:r>
          </w:p>
        </w:tc>
        <w:tc>
          <w:tcPr>
            <w:tcW w:type="dxa" w:w="460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8.3.4. Superviser  la dotation annuelle en consommables d'hygiène et fournitures ordinaires indispensables au fonctionnement du CLIN/PCI :</w:t>
              <w:br/>
              <w:t>- Savon liquide pour le lavage des mains (250 Litres)</w:t>
              <w:br/>
              <w:t>- Essuie-mains jetables à usage unique (250 rouleaux)</w:t>
              <w:br/>
              <w:t>- Fournitures de bureau annuelles (12 cartons papier RAM, 12 recharges encre imprimante A80, stylos, chemises dossiers, agrafes, registres)</w:t>
            </w:r>
          </w:p>
        </w:tc>
        <w:tc>
          <w:tcPr>
            <w:tcW w:type="dxa" w:w="187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Trimestrielle (Continue)</w:t>
            </w:r>
          </w:p>
        </w:tc>
        <w:tc>
          <w:tcPr>
            <w:tcW w:type="dxa" w:w="1728"/>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Économat / DAF / Point focal PCI</w:t>
            </w:r>
          </w:p>
        </w:tc>
        <w:tc>
          <w:tcPr>
            <w:tcW w:type="dxa" w:w="2736"/>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Ruptures épisodiques de savon liquide et essuie-mains</w:t>
              <w:br/>
              <w:t>Cible: Zéro rupture de stock en savon liquide et essuie-mains constatée dans les blocs et unités critiques</w:t>
            </w:r>
          </w:p>
        </w:tc>
        <w:tc>
          <w:tcPr>
            <w:tcW w:type="dxa" w:w="1152"/>
            <w:shd w:fill="FFFFFF"/>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r>
        <w:trPr>
          <w:cantSplit/>
        </w:trPr>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1B365D"/>
                <w:sz w:val="17"/>
              </w:rPr>
              <w:t>VI. COMMUNICATION SUR LA PCI</w:t>
            </w:r>
          </w:p>
        </w:tc>
        <w:tc>
          <w:tcPr>
            <w:tcW w:type="dxa" w:w="2160"/>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6.1. Mettre en place des outils de communication de la PCI</w:t>
            </w:r>
          </w:p>
        </w:tc>
        <w:tc>
          <w:tcPr>
            <w:tcW w:type="dxa" w:w="460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Diffuser les outils de communication</w:t>
            </w:r>
          </w:p>
        </w:tc>
        <w:tc>
          <w:tcPr>
            <w:tcW w:type="dxa" w:w="187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b/>
                <w:color w:val="2C3E50"/>
                <w:sz w:val="17"/>
              </w:rPr>
              <w:t>Continue / Permanente</w:t>
            </w:r>
          </w:p>
        </w:tc>
        <w:tc>
          <w:tcPr>
            <w:tcW w:type="dxa" w:w="1728"/>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EOPCI / Points focaux de service</w:t>
            </w:r>
          </w:p>
        </w:tc>
        <w:tc>
          <w:tcPr>
            <w:tcW w:type="dxa" w:w="2736"/>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left"/>
            </w:pPr>
            <w:r>
              <w:rPr>
                <w:rFonts w:ascii="Calibri" w:hAnsi="Calibri"/>
                <w:sz w:val="17"/>
              </w:rPr>
              <w:t>Base: Affichage hétérogène ou dégradé dans les couloirs et services</w:t>
              <w:br/>
              <w:t>Cible: 100% des postes de soins et lavabos équipés d'affiches visibles et entretenues</w:t>
            </w:r>
          </w:p>
        </w:tc>
        <w:tc>
          <w:tcPr>
            <w:tcW w:type="dxa" w:w="1152"/>
            <w:shd w:fill="F0F4F8"/>
            <w:tcMar>
              <w:top w:w="80" w:type="dxa"/>
              <w:bottom w:w="80" w:type="dxa"/>
              <w:left w:w="90" w:type="dxa"/>
              <w:right w:w="90" w:type="dxa"/>
            </w:tcMar>
            <w:tcBorders>
              <single w:val="single" w:sz="4" w:space="0" w:color="D3D3D3"/>
              <single w:val="single" w:sz="4" w:space="0" w:color="D3D3D3"/>
              <single w:val="single" w:sz="4" w:space="0" w:color="D3D3D3"/>
              <single w:val="single" w:sz="4" w:space="0" w:color="D3D3D3"/>
            </w:tcBorders>
          </w:tcPr>
          <w:p>
            <w:pPr>
              <w:jc w:val="center"/>
            </w:pPr>
            <w:r>
              <w:rPr>
                <w:rFonts w:ascii="Calibri" w:hAnsi="Calibri"/>
                <w:sz w:val="17"/>
              </w:rPr>
              <w:t>FP</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