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3A394A6" w14:textId="1C1FD263" w:rsidR="00E21260" w:rsidRPr="002F42E7" w:rsidRDefault="00000000" w:rsidP="002F42E7">
      <w:pPr>
        <w:spacing w:before="160" w:after="240"/>
        <w:jc w:val="center"/>
        <w:rPr>
          <w:rFonts w:ascii="Times New Roman" w:hAnsi="Times New Roman" w:cs="Times New Roman"/>
          <w:lang w:val="fr-FR"/>
        </w:rPr>
      </w:pPr>
      <w:r w:rsidRPr="002F42E7">
        <w:rPr>
          <w:rFonts w:ascii="Times New Roman" w:hAnsi="Times New Roman" w:cs="Times New Roman"/>
          <w:b/>
          <w:sz w:val="28"/>
          <w:lang w:val="fr-FR"/>
        </w:rPr>
        <w:t>PLAN DE TRAVAIL ANNUEL CLIN / PCI 2026-2027</w:t>
      </w:r>
      <w:r w:rsidRPr="002F42E7">
        <w:rPr>
          <w:rFonts w:ascii="Times New Roman" w:hAnsi="Times New Roman" w:cs="Times New Roman"/>
          <w:b/>
          <w:sz w:val="28"/>
          <w:lang w:val="fr-FR"/>
        </w:rPr>
        <w:br/>
      </w:r>
    </w:p>
    <w:p w14:paraId="54D8E433" w14:textId="592883CE" w:rsidR="00E21260" w:rsidRPr="002F42E7" w:rsidRDefault="00E21260">
      <w:pPr>
        <w:spacing w:before="120" w:after="80"/>
        <w:rPr>
          <w:rFonts w:ascii="Times New Roman" w:hAnsi="Times New Roman" w:cs="Times New Roman"/>
          <w:lang w:val="fr-FR"/>
        </w:rPr>
      </w:pPr>
    </w:p>
    <w:tbl>
      <w:tblPr>
        <w:tblStyle w:val="Grilledutableau"/>
        <w:tblW w:w="15200" w:type="dxa"/>
        <w:tblLayout w:type="fixed"/>
        <w:tblLook w:val="04A0" w:firstRow="1" w:lastRow="0" w:firstColumn="1" w:lastColumn="0" w:noHBand="0" w:noVBand="1"/>
      </w:tblPr>
      <w:tblGrid>
        <w:gridCol w:w="1526"/>
        <w:gridCol w:w="1843"/>
        <w:gridCol w:w="2835"/>
        <w:gridCol w:w="1539"/>
        <w:gridCol w:w="1629"/>
        <w:gridCol w:w="1935"/>
        <w:gridCol w:w="2410"/>
        <w:gridCol w:w="1483"/>
      </w:tblGrid>
      <w:tr w:rsidR="003E7C98" w:rsidRPr="007C0026" w14:paraId="0F581483" w14:textId="77777777" w:rsidTr="003E7C98">
        <w:trPr>
          <w:tblHeader/>
        </w:trPr>
        <w:tc>
          <w:tcPr>
            <w:tcW w:w="1526" w:type="dxa"/>
            <w:vMerge w:val="restart"/>
          </w:tcPr>
          <w:p w14:paraId="1FB75058" w14:textId="77777777" w:rsidR="00E21260" w:rsidRPr="007C0026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Objectifs </w:t>
            </w:r>
            <w:proofErr w:type="spellStart"/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stratégiques</w:t>
            </w:r>
            <w:proofErr w:type="spellEnd"/>
          </w:p>
          <w:p w14:paraId="56921550" w14:textId="77777777" w:rsidR="00E21260" w:rsidRPr="007C0026" w:rsidRDefault="00E2126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 w:val="restart"/>
          </w:tcPr>
          <w:p w14:paraId="3D4873A2" w14:textId="77777777" w:rsidR="00E21260" w:rsidRPr="007C0026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Interventions </w:t>
            </w:r>
            <w:proofErr w:type="spellStart"/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stratégiques</w:t>
            </w:r>
            <w:proofErr w:type="spellEnd"/>
          </w:p>
          <w:p w14:paraId="1F88D1F7" w14:textId="77777777" w:rsidR="00E21260" w:rsidRPr="007C0026" w:rsidRDefault="00E2126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  <w:vMerge w:val="restart"/>
          </w:tcPr>
          <w:p w14:paraId="5EEBA87A" w14:textId="77777777" w:rsidR="00E21260" w:rsidRPr="007C0026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Activité</w:t>
            </w:r>
            <w:proofErr w:type="spellEnd"/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/ Sous-</w:t>
            </w:r>
            <w:proofErr w:type="spellStart"/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activité</w:t>
            </w:r>
            <w:proofErr w:type="spellEnd"/>
          </w:p>
          <w:p w14:paraId="11AB2F8F" w14:textId="77777777" w:rsidR="00E21260" w:rsidRPr="007C0026" w:rsidRDefault="00E2126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9" w:type="dxa"/>
            <w:vMerge w:val="restart"/>
          </w:tcPr>
          <w:p w14:paraId="6F4C2F41" w14:textId="34818D7D" w:rsidR="00E21260" w:rsidRPr="007C0026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Respon</w:t>
            </w:r>
            <w:r w:rsidR="002F42E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sabilité</w:t>
            </w:r>
            <w:proofErr w:type="spellEnd"/>
          </w:p>
          <w:p w14:paraId="58BDB431" w14:textId="77777777" w:rsidR="00E21260" w:rsidRPr="007C0026" w:rsidRDefault="00E2126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9" w:type="dxa"/>
            <w:vMerge w:val="restart"/>
          </w:tcPr>
          <w:p w14:paraId="00B6A514" w14:textId="77777777" w:rsidR="00E21260" w:rsidRPr="007C0026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Délai</w:t>
            </w:r>
            <w:proofErr w:type="spellEnd"/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d’exécution</w:t>
            </w:r>
            <w:proofErr w:type="spellEnd"/>
          </w:p>
          <w:p w14:paraId="79E7AB9B" w14:textId="77777777" w:rsidR="00E21260" w:rsidRPr="007C0026" w:rsidRDefault="00E2126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5" w:type="dxa"/>
            <w:gridSpan w:val="2"/>
          </w:tcPr>
          <w:p w14:paraId="47AF541E" w14:textId="77777777" w:rsidR="00E21260" w:rsidRPr="007C0026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Indicateurs</w:t>
            </w:r>
            <w:proofErr w:type="spellEnd"/>
          </w:p>
          <w:p w14:paraId="2C3ADD30" w14:textId="77777777" w:rsidR="00E21260" w:rsidRPr="007C0026" w:rsidRDefault="00E2126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3" w:type="dxa"/>
          </w:tcPr>
          <w:p w14:paraId="69444F8E" w14:textId="77777777" w:rsidR="00E21260" w:rsidRPr="007C0026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Source de </w:t>
            </w:r>
            <w:proofErr w:type="spellStart"/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financement</w:t>
            </w:r>
            <w:proofErr w:type="spellEnd"/>
          </w:p>
          <w:p w14:paraId="7CACE19C" w14:textId="77777777" w:rsidR="00E21260" w:rsidRPr="007C0026" w:rsidRDefault="00E2126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E7C98" w:rsidRPr="007C0026" w14:paraId="3CE8DF38" w14:textId="77777777" w:rsidTr="003E7C98">
        <w:trPr>
          <w:tblHeader/>
        </w:trPr>
        <w:tc>
          <w:tcPr>
            <w:tcW w:w="1526" w:type="dxa"/>
            <w:vMerge/>
          </w:tcPr>
          <w:p w14:paraId="41179C5D" w14:textId="77777777" w:rsidR="00E21260" w:rsidRPr="007C0026" w:rsidRDefault="00E2126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41D66D28" w14:textId="77777777" w:rsidR="00E21260" w:rsidRPr="007C0026" w:rsidRDefault="00E2126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  <w:vMerge/>
          </w:tcPr>
          <w:p w14:paraId="5A267B69" w14:textId="77777777" w:rsidR="00E21260" w:rsidRPr="007C0026" w:rsidRDefault="00E2126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9" w:type="dxa"/>
            <w:vMerge/>
          </w:tcPr>
          <w:p w14:paraId="115949DB" w14:textId="77777777" w:rsidR="00E21260" w:rsidRPr="007C0026" w:rsidRDefault="00E2126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9" w:type="dxa"/>
            <w:vMerge/>
          </w:tcPr>
          <w:p w14:paraId="297320D0" w14:textId="77777777" w:rsidR="00E21260" w:rsidRPr="007C0026" w:rsidRDefault="00E2126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35" w:type="dxa"/>
          </w:tcPr>
          <w:p w14:paraId="40BEA5A0" w14:textId="77777777" w:rsidR="00E21260" w:rsidRPr="007C0026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De base</w:t>
            </w:r>
          </w:p>
        </w:tc>
        <w:tc>
          <w:tcPr>
            <w:tcW w:w="2410" w:type="dxa"/>
          </w:tcPr>
          <w:p w14:paraId="6CE4D1B3" w14:textId="77777777" w:rsidR="00E21260" w:rsidRPr="007C0026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Cible</w:t>
            </w:r>
            <w:proofErr w:type="spellEnd"/>
          </w:p>
        </w:tc>
        <w:tc>
          <w:tcPr>
            <w:tcW w:w="1483" w:type="dxa"/>
          </w:tcPr>
          <w:p w14:paraId="214DB36B" w14:textId="77777777" w:rsidR="00E21260" w:rsidRPr="007C0026" w:rsidRDefault="00E2126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E7C98" w:rsidRPr="002F42E7" w14:paraId="3479255A" w14:textId="77777777" w:rsidTr="003E7C98">
        <w:tc>
          <w:tcPr>
            <w:tcW w:w="1526" w:type="dxa"/>
          </w:tcPr>
          <w:p w14:paraId="5E59D77B" w14:textId="7A89DCE5" w:rsidR="002F42E7" w:rsidRPr="007C0026" w:rsidRDefault="002F42E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I. PROGRAMME PCI</w:t>
            </w:r>
          </w:p>
        </w:tc>
        <w:tc>
          <w:tcPr>
            <w:tcW w:w="1843" w:type="dxa"/>
            <w:vMerge w:val="restart"/>
          </w:tcPr>
          <w:p w14:paraId="37AC6339" w14:textId="63B87C48" w:rsidR="002F42E7" w:rsidRPr="002F42E7" w:rsidRDefault="002F42E7">
            <w:pPr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 xml:space="preserve">1.1. Renforcement de la structure institutionnelle de la PCI </w:t>
            </w:r>
          </w:p>
        </w:tc>
        <w:tc>
          <w:tcPr>
            <w:tcW w:w="2835" w:type="dxa"/>
          </w:tcPr>
          <w:p w14:paraId="6B675DDE" w14:textId="44EFD6C6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1.1.1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Rédiger le cahier de charge </w:t>
            </w: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de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l’Équipe Opérationnelle de PCI (EOPCI)</w:t>
            </w:r>
          </w:p>
        </w:tc>
        <w:tc>
          <w:tcPr>
            <w:tcW w:w="1539" w:type="dxa"/>
          </w:tcPr>
          <w:p w14:paraId="7788F785" w14:textId="77777777" w:rsidR="002F42E7" w:rsidRPr="002F42E7" w:rsidRDefault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629" w:type="dxa"/>
          </w:tcPr>
          <w:p w14:paraId="5C8C9C7B" w14:textId="699C1A88" w:rsidR="002F42E7" w:rsidRPr="002F42E7" w:rsidRDefault="002D4A1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Septembre 2026</w:t>
            </w:r>
          </w:p>
        </w:tc>
        <w:tc>
          <w:tcPr>
            <w:tcW w:w="1935" w:type="dxa"/>
          </w:tcPr>
          <w:p w14:paraId="195BFB92" w14:textId="77777777" w:rsidR="002F42E7" w:rsidRPr="002F42E7" w:rsidRDefault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2410" w:type="dxa"/>
          </w:tcPr>
          <w:p w14:paraId="78CEBE31" w14:textId="77777777" w:rsidR="002F42E7" w:rsidRPr="002F42E7" w:rsidRDefault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483" w:type="dxa"/>
          </w:tcPr>
          <w:p w14:paraId="2E6359CF" w14:textId="77777777" w:rsidR="002F42E7" w:rsidRPr="002F42E7" w:rsidRDefault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</w:tr>
      <w:tr w:rsidR="003E7C98" w:rsidRPr="002F42E7" w14:paraId="29C0A071" w14:textId="77777777" w:rsidTr="003E7C98">
        <w:tc>
          <w:tcPr>
            <w:tcW w:w="1526" w:type="dxa"/>
          </w:tcPr>
          <w:p w14:paraId="160F0735" w14:textId="77777777" w:rsidR="002F42E7" w:rsidRPr="007C0026" w:rsidRDefault="002F42E7" w:rsidP="002F42E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599433ED" w14:textId="77777777" w:rsidR="002F42E7" w:rsidRPr="002F42E7" w:rsidRDefault="002F42E7" w:rsidP="002F42E7">
            <w:pPr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</w:pPr>
          </w:p>
        </w:tc>
        <w:tc>
          <w:tcPr>
            <w:tcW w:w="2835" w:type="dxa"/>
          </w:tcPr>
          <w:p w14:paraId="2598E35D" w14:textId="68879E6D" w:rsid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1.1.</w:t>
            </w: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2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R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estructurer l’Équipe Opérationnelle de PCI (EOPCI)</w:t>
            </w:r>
          </w:p>
        </w:tc>
        <w:tc>
          <w:tcPr>
            <w:tcW w:w="1539" w:type="dxa"/>
          </w:tcPr>
          <w:p w14:paraId="75573F92" w14:textId="47D1F24C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DG / Point focal</w:t>
            </w:r>
          </w:p>
        </w:tc>
        <w:tc>
          <w:tcPr>
            <w:tcW w:w="1629" w:type="dxa"/>
          </w:tcPr>
          <w:p w14:paraId="2F2ECD9C" w14:textId="418A0B66" w:rsidR="002F42E7" w:rsidRPr="002F42E7" w:rsidRDefault="002D4A1D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Octobre 2026</w:t>
            </w:r>
          </w:p>
        </w:tc>
        <w:tc>
          <w:tcPr>
            <w:tcW w:w="1935" w:type="dxa"/>
          </w:tcPr>
          <w:p w14:paraId="3192A008" w14:textId="0060D716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Composition antérieure de l'EOPCI partielle et informelle</w:t>
            </w:r>
          </w:p>
        </w:tc>
        <w:tc>
          <w:tcPr>
            <w:tcW w:w="2410" w:type="dxa"/>
          </w:tcPr>
          <w:p w14:paraId="61121BE2" w14:textId="1E2824F6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Note de service portant composition multidisciplinaire et renouvellement de l’EOPCI</w:t>
            </w:r>
          </w:p>
        </w:tc>
        <w:tc>
          <w:tcPr>
            <w:tcW w:w="1483" w:type="dxa"/>
          </w:tcPr>
          <w:p w14:paraId="0EC4AA29" w14:textId="051EAD2A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Néant</w:t>
            </w:r>
            <w:proofErr w:type="spellEnd"/>
          </w:p>
        </w:tc>
      </w:tr>
      <w:tr w:rsidR="003E7C98" w:rsidRPr="007C0026" w14:paraId="73BABB7C" w14:textId="77777777" w:rsidTr="003E7C98">
        <w:tc>
          <w:tcPr>
            <w:tcW w:w="1526" w:type="dxa"/>
            <w:vMerge w:val="restart"/>
          </w:tcPr>
          <w:p w14:paraId="4CC84EE5" w14:textId="442EB5D4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 xml:space="preserve">  </w:t>
            </w:r>
          </w:p>
        </w:tc>
        <w:tc>
          <w:tcPr>
            <w:tcW w:w="1843" w:type="dxa"/>
            <w:vMerge/>
          </w:tcPr>
          <w:p w14:paraId="3B878214" w14:textId="4EFA67C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2835" w:type="dxa"/>
          </w:tcPr>
          <w:p w14:paraId="58961FC4" w14:textId="2A1020FC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1.1.</w:t>
            </w: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3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Renouveler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la note de service portant nomination du Point Focal PCI du CHUMEL </w:t>
            </w:r>
          </w:p>
        </w:tc>
        <w:tc>
          <w:tcPr>
            <w:tcW w:w="1539" w:type="dxa"/>
          </w:tcPr>
          <w:p w14:paraId="124D8EA1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DG / Point focal</w:t>
            </w:r>
          </w:p>
        </w:tc>
        <w:tc>
          <w:tcPr>
            <w:tcW w:w="1629" w:type="dxa"/>
          </w:tcPr>
          <w:p w14:paraId="44656398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Octobre 2026</w:t>
            </w:r>
          </w:p>
        </w:tc>
        <w:tc>
          <w:tcPr>
            <w:tcW w:w="1935" w:type="dxa"/>
          </w:tcPr>
          <w:p w14:paraId="00AAA566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Note de nomination antérieure caduque</w:t>
            </w:r>
          </w:p>
        </w:tc>
        <w:tc>
          <w:tcPr>
            <w:tcW w:w="2410" w:type="dxa"/>
          </w:tcPr>
          <w:p w14:paraId="2D97F21A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Note de service officielle signée par le DG et notifiée à tous les services</w:t>
            </w:r>
          </w:p>
        </w:tc>
        <w:tc>
          <w:tcPr>
            <w:tcW w:w="1483" w:type="dxa"/>
          </w:tcPr>
          <w:p w14:paraId="392FA431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Néant</w:t>
            </w:r>
            <w:proofErr w:type="spellEnd"/>
          </w:p>
        </w:tc>
      </w:tr>
      <w:tr w:rsidR="003E7C98" w:rsidRPr="007C0026" w14:paraId="0BB10871" w14:textId="77777777" w:rsidTr="003E7C98">
        <w:tc>
          <w:tcPr>
            <w:tcW w:w="1526" w:type="dxa"/>
            <w:vMerge/>
          </w:tcPr>
          <w:p w14:paraId="5DB777BC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62795284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635F8F62" w14:textId="6D1639EF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1.1.</w:t>
            </w: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4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R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estructurer le Comité de Lutte contre les Infections Nosocomiales (CLIN)</w:t>
            </w:r>
          </w:p>
        </w:tc>
        <w:tc>
          <w:tcPr>
            <w:tcW w:w="1539" w:type="dxa"/>
          </w:tcPr>
          <w:p w14:paraId="640C7EFC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DG / CLIN</w:t>
            </w:r>
          </w:p>
        </w:tc>
        <w:tc>
          <w:tcPr>
            <w:tcW w:w="1629" w:type="dxa"/>
          </w:tcPr>
          <w:p w14:paraId="4E708853" w14:textId="3670BA4E" w:rsidR="002F42E7" w:rsidRPr="007C0026" w:rsidRDefault="002D4A1D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Octobre 2026</w:t>
            </w:r>
          </w:p>
        </w:tc>
        <w:tc>
          <w:tcPr>
            <w:tcW w:w="1935" w:type="dxa"/>
          </w:tcPr>
          <w:p w14:paraId="4E2ABEE1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Mandat des membres du CLIN arrivé à échéance</w:t>
            </w:r>
          </w:p>
        </w:tc>
        <w:tc>
          <w:tcPr>
            <w:tcW w:w="2410" w:type="dxa"/>
          </w:tcPr>
          <w:p w14:paraId="58E998B3" w14:textId="7FC44EB5" w:rsidR="002F42E7" w:rsidRPr="002F42E7" w:rsidRDefault="002D4A1D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Note de service officielle signée par le DG </w:t>
            </w:r>
            <w:r w:rsidR="002F42E7"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portant r</w:t>
            </w: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estructuration </w:t>
            </w:r>
            <w:r w:rsidR="002F42E7"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du CLIN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et notifiée à </w:t>
            </w: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toutes les instances</w:t>
            </w:r>
          </w:p>
        </w:tc>
        <w:tc>
          <w:tcPr>
            <w:tcW w:w="1483" w:type="dxa"/>
          </w:tcPr>
          <w:p w14:paraId="1493F880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Néant</w:t>
            </w:r>
            <w:proofErr w:type="spellEnd"/>
          </w:p>
        </w:tc>
      </w:tr>
      <w:tr w:rsidR="003E7C98" w:rsidRPr="007C0026" w14:paraId="0BEAD4BA" w14:textId="77777777" w:rsidTr="003E7C98">
        <w:tc>
          <w:tcPr>
            <w:tcW w:w="1526" w:type="dxa"/>
            <w:vMerge/>
          </w:tcPr>
          <w:p w14:paraId="0C83C34A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35E7A196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122EB7B5" w14:textId="69F5F694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1.1.5. Nommer l’équipe des formateurs internes en PCI du CHUMEL</w:t>
            </w:r>
          </w:p>
        </w:tc>
        <w:tc>
          <w:tcPr>
            <w:tcW w:w="1539" w:type="dxa"/>
          </w:tcPr>
          <w:p w14:paraId="254A67C8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DG / Point focal</w:t>
            </w:r>
          </w:p>
        </w:tc>
        <w:tc>
          <w:tcPr>
            <w:tcW w:w="1629" w:type="dxa"/>
          </w:tcPr>
          <w:p w14:paraId="327C3302" w14:textId="51AD45CA" w:rsidR="002F42E7" w:rsidRPr="007C0026" w:rsidRDefault="002D4A1D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Octobre 2026</w:t>
            </w:r>
          </w:p>
        </w:tc>
        <w:tc>
          <w:tcPr>
            <w:tcW w:w="1935" w:type="dxa"/>
          </w:tcPr>
          <w:p w14:paraId="61BD94EA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Pool de formateurs internes non formalisé</w:t>
            </w:r>
          </w:p>
        </w:tc>
        <w:tc>
          <w:tcPr>
            <w:tcW w:w="2410" w:type="dxa"/>
          </w:tcPr>
          <w:p w14:paraId="4106AFE5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Note de service désignant formellement 8 formateurs internes pluridisciplinaires</w:t>
            </w:r>
          </w:p>
        </w:tc>
        <w:tc>
          <w:tcPr>
            <w:tcW w:w="1483" w:type="dxa"/>
          </w:tcPr>
          <w:p w14:paraId="3896CAB2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Néant</w:t>
            </w:r>
            <w:proofErr w:type="spellEnd"/>
          </w:p>
        </w:tc>
      </w:tr>
      <w:tr w:rsidR="003E7C98" w:rsidRPr="007C0026" w14:paraId="02328665" w14:textId="77777777" w:rsidTr="003E7C98">
        <w:tc>
          <w:tcPr>
            <w:tcW w:w="1526" w:type="dxa"/>
            <w:vMerge/>
          </w:tcPr>
          <w:p w14:paraId="0ADDAAAF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 w:val="restart"/>
          </w:tcPr>
          <w:p w14:paraId="74E9A382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4232AB50" w14:textId="314A825F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1.1.6. Nommer les points focaux IAS-PCI </w:t>
            </w:r>
            <w:r w:rsidR="002D4A1D"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(binôme soignant et agent </w:t>
            </w:r>
            <w:r w:rsidR="002D4A1D"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d'entretien)</w:t>
            </w:r>
            <w:r w:rsidR="002D4A1D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dans les services </w:t>
            </w:r>
            <w:r w:rsidR="002D4A1D"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m</w:t>
            </w:r>
            <w:r w:rsidR="002D4A1D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é</w:t>
            </w:r>
            <w:r w:rsidR="002D4A1D"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di</w:t>
            </w:r>
            <w:r w:rsidR="002D4A1D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co-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techniques </w:t>
            </w:r>
          </w:p>
        </w:tc>
        <w:tc>
          <w:tcPr>
            <w:tcW w:w="1539" w:type="dxa"/>
          </w:tcPr>
          <w:p w14:paraId="2CE2E3EC" w14:textId="4740C8E9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EOPCI / DG</w:t>
            </w:r>
          </w:p>
        </w:tc>
        <w:tc>
          <w:tcPr>
            <w:tcW w:w="1629" w:type="dxa"/>
          </w:tcPr>
          <w:p w14:paraId="174E8FA1" w14:textId="6C46BEFC" w:rsidR="002F42E7" w:rsidRPr="007C0026" w:rsidRDefault="002D4A1D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Octobre 2026</w:t>
            </w:r>
          </w:p>
        </w:tc>
        <w:tc>
          <w:tcPr>
            <w:tcW w:w="1935" w:type="dxa"/>
          </w:tcPr>
          <w:p w14:paraId="3BE8E47D" w14:textId="7C6DA7D0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Absence de réseau formalisé de relais d</w:t>
            </w:r>
            <w:r w:rsidR="002D4A1D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ans les </w:t>
            </w:r>
            <w:r w:rsidR="002D4A1D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 xml:space="preserve">services </w:t>
            </w:r>
            <w:proofErr w:type="spellStart"/>
            <w:r w:rsidR="002D4A1D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medico-techniques</w:t>
            </w:r>
            <w:proofErr w:type="spellEnd"/>
          </w:p>
        </w:tc>
        <w:tc>
          <w:tcPr>
            <w:tcW w:w="2410" w:type="dxa"/>
          </w:tcPr>
          <w:p w14:paraId="70925072" w14:textId="41BE3146" w:rsidR="002F42E7" w:rsidRPr="002F42E7" w:rsidRDefault="002D4A1D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 xml:space="preserve">Note de service </w:t>
            </w: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nommant</w:t>
            </w:r>
            <w:r w:rsidR="002F42E7"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points focaux de</w:t>
            </w: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s</w:t>
            </w:r>
            <w:r w:rsidR="002F42E7"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service</w:t>
            </w: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s</w:t>
            </w:r>
            <w:r w:rsidR="002F42E7"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, </w:t>
            </w:r>
            <w:r w:rsidR="002F42E7"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dotés d'une lettre de mission et opérationnels</w:t>
            </w:r>
          </w:p>
        </w:tc>
        <w:tc>
          <w:tcPr>
            <w:tcW w:w="1483" w:type="dxa"/>
          </w:tcPr>
          <w:p w14:paraId="382518BB" w14:textId="22DBA0F0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FP</w:t>
            </w:r>
          </w:p>
        </w:tc>
      </w:tr>
      <w:tr w:rsidR="003E7C98" w:rsidRPr="002F42E7" w14:paraId="29982AB8" w14:textId="77777777" w:rsidTr="003E7C98">
        <w:tc>
          <w:tcPr>
            <w:tcW w:w="1526" w:type="dxa"/>
            <w:vMerge/>
          </w:tcPr>
          <w:p w14:paraId="498FDE17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2F47E2C3" w14:textId="77777777" w:rsidR="002F42E7" w:rsidRPr="007C0026" w:rsidRDefault="002F42E7" w:rsidP="002F42E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73D31479" w14:textId="4EBD2C2D" w:rsidR="002F42E7" w:rsidRPr="002F42E7" w:rsidRDefault="002D4A1D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Solliciter</w:t>
            </w:r>
            <w:r w:rsidR="002F42E7"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une expertise externe pour accompagner le </w:t>
            </w: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CLIN/</w:t>
            </w:r>
            <w:r w:rsidR="002F42E7"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PCI</w:t>
            </w:r>
          </w:p>
        </w:tc>
        <w:tc>
          <w:tcPr>
            <w:tcW w:w="1539" w:type="dxa"/>
          </w:tcPr>
          <w:p w14:paraId="03C56AA9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629" w:type="dxa"/>
          </w:tcPr>
          <w:p w14:paraId="47997CE2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935" w:type="dxa"/>
          </w:tcPr>
          <w:p w14:paraId="6658B960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2410" w:type="dxa"/>
          </w:tcPr>
          <w:p w14:paraId="74CC7874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483" w:type="dxa"/>
          </w:tcPr>
          <w:p w14:paraId="6335FF83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</w:pPr>
          </w:p>
        </w:tc>
      </w:tr>
      <w:tr w:rsidR="003E7C98" w:rsidRPr="007C0026" w14:paraId="02F72E9A" w14:textId="77777777" w:rsidTr="003E7C98">
        <w:tc>
          <w:tcPr>
            <w:tcW w:w="1526" w:type="dxa"/>
            <w:vMerge/>
          </w:tcPr>
          <w:p w14:paraId="51B34E1E" w14:textId="77777777" w:rsidR="00071B56" w:rsidRPr="002F42E7" w:rsidRDefault="00071B56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843" w:type="dxa"/>
            <w:vMerge w:val="restart"/>
          </w:tcPr>
          <w:p w14:paraId="66C8A658" w14:textId="3EFEAC19" w:rsidR="00071B56" w:rsidRPr="002F42E7" w:rsidRDefault="00071B56" w:rsidP="002F42E7">
            <w:pPr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>1.2. Renforcement de la structure fonctionnelle de la PCI (gouvernance</w:t>
            </w:r>
          </w:p>
        </w:tc>
        <w:tc>
          <w:tcPr>
            <w:tcW w:w="2835" w:type="dxa"/>
          </w:tcPr>
          <w:p w14:paraId="3AA268D1" w14:textId="455B410D" w:rsidR="00071B56" w:rsidRPr="002F42E7" w:rsidRDefault="00071B56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1.2.1. Organiser les réunions hebdomadaires de l’équipe opérationnelle PCI (EOPCI) :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</w:r>
          </w:p>
        </w:tc>
        <w:tc>
          <w:tcPr>
            <w:tcW w:w="1539" w:type="dxa"/>
          </w:tcPr>
          <w:p w14:paraId="039BF485" w14:textId="4AFFE702" w:rsidR="00071B56" w:rsidRPr="007C0026" w:rsidRDefault="00071B56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3A54">
              <w:rPr>
                <w:rFonts w:ascii="Times New Roman" w:hAnsi="Times New Roman" w:cs="Times New Roman"/>
                <w:sz w:val="24"/>
                <w:szCs w:val="24"/>
              </w:rPr>
              <w:t>Point focal / EOPCI</w:t>
            </w:r>
          </w:p>
        </w:tc>
        <w:tc>
          <w:tcPr>
            <w:tcW w:w="1629" w:type="dxa"/>
          </w:tcPr>
          <w:p w14:paraId="11003696" w14:textId="564E2738" w:rsidR="00071B56" w:rsidRPr="007C0026" w:rsidRDefault="00071B56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A3A54">
              <w:rPr>
                <w:rFonts w:ascii="Times New Roman" w:hAnsi="Times New Roman" w:cs="Times New Roman"/>
                <w:sz w:val="24"/>
                <w:szCs w:val="24"/>
              </w:rPr>
              <w:t>Hebdomadaire</w:t>
            </w:r>
            <w:proofErr w:type="spellEnd"/>
            <w:r w:rsidRPr="00BA3A54">
              <w:rPr>
                <w:rFonts w:ascii="Times New Roman" w:hAnsi="Times New Roman" w:cs="Times New Roman"/>
                <w:sz w:val="24"/>
                <w:szCs w:val="24"/>
              </w:rPr>
              <w:t xml:space="preserve"> (Oct. 2026 - Sept. 2027)</w:t>
            </w:r>
          </w:p>
        </w:tc>
        <w:tc>
          <w:tcPr>
            <w:tcW w:w="1935" w:type="dxa"/>
          </w:tcPr>
          <w:p w14:paraId="503AC8AC" w14:textId="0F4373FA" w:rsidR="00071B56" w:rsidRPr="007C0026" w:rsidRDefault="00071B56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A3A54">
              <w:rPr>
                <w:rFonts w:ascii="Times New Roman" w:hAnsi="Times New Roman" w:cs="Times New Roman"/>
                <w:sz w:val="24"/>
                <w:szCs w:val="24"/>
              </w:rPr>
              <w:t>Réunions</w:t>
            </w:r>
            <w:proofErr w:type="spellEnd"/>
            <w:r w:rsidRPr="00BA3A5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A3A54">
              <w:rPr>
                <w:rFonts w:ascii="Times New Roman" w:hAnsi="Times New Roman" w:cs="Times New Roman"/>
                <w:sz w:val="24"/>
                <w:szCs w:val="24"/>
              </w:rPr>
              <w:t>d'équipe</w:t>
            </w:r>
            <w:proofErr w:type="spellEnd"/>
            <w:r w:rsidRPr="00BA3A5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A3A54">
              <w:rPr>
                <w:rFonts w:ascii="Times New Roman" w:hAnsi="Times New Roman" w:cs="Times New Roman"/>
                <w:sz w:val="24"/>
                <w:szCs w:val="24"/>
              </w:rPr>
              <w:t>irrégulières</w:t>
            </w:r>
            <w:proofErr w:type="spellEnd"/>
          </w:p>
        </w:tc>
        <w:tc>
          <w:tcPr>
            <w:tcW w:w="2410" w:type="dxa"/>
          </w:tcPr>
          <w:p w14:paraId="7A314074" w14:textId="29C4EF20" w:rsidR="00071B56" w:rsidRPr="002F42E7" w:rsidRDefault="00071B56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48 à 52 comptes-rendus de réunion hebdomadaire archivés</w:t>
            </w:r>
          </w:p>
        </w:tc>
        <w:tc>
          <w:tcPr>
            <w:tcW w:w="1483" w:type="dxa"/>
          </w:tcPr>
          <w:p w14:paraId="4E829767" w14:textId="03166609" w:rsidR="00071B56" w:rsidRPr="007C0026" w:rsidRDefault="00071B56" w:rsidP="002F42E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3A5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FP / </w:t>
            </w:r>
            <w:proofErr w:type="spellStart"/>
            <w:r w:rsidRPr="00BA3A54">
              <w:rPr>
                <w:rFonts w:ascii="Times New Roman" w:hAnsi="Times New Roman" w:cs="Times New Roman"/>
                <w:b/>
                <w:sz w:val="24"/>
                <w:szCs w:val="24"/>
              </w:rPr>
              <w:t>Néant</w:t>
            </w:r>
            <w:proofErr w:type="spellEnd"/>
          </w:p>
        </w:tc>
      </w:tr>
      <w:tr w:rsidR="003E7C98" w:rsidRPr="007C0026" w14:paraId="3E23D109" w14:textId="77777777" w:rsidTr="003E7C98">
        <w:tc>
          <w:tcPr>
            <w:tcW w:w="1526" w:type="dxa"/>
            <w:vMerge/>
          </w:tcPr>
          <w:p w14:paraId="1A3FF9CB" w14:textId="77777777" w:rsidR="00071B56" w:rsidRPr="007C0026" w:rsidRDefault="00071B56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235EA4DC" w14:textId="77777777" w:rsidR="00071B56" w:rsidRPr="007C0026" w:rsidRDefault="00071B56" w:rsidP="002F42E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00E743AC" w14:textId="4A5489D9" w:rsidR="00071B56" w:rsidRPr="002F42E7" w:rsidRDefault="00071B56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1.2.2. Organiser les réunions </w:t>
            </w:r>
            <w:r w:rsidRPr="00071B56">
              <w:rPr>
                <w:rFonts w:ascii="Times New Roman" w:hAnsi="Times New Roman" w:cs="Times New Roman"/>
                <w:sz w:val="24"/>
                <w:szCs w:val="24"/>
                <w:highlight w:val="yellow"/>
                <w:lang w:val="fr-FR"/>
              </w:rPr>
              <w:t>trimestrielles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du Comité de Lutte contre les Infections Nosocomiales (CLIN) :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Présentation des bilans trimestriels et des tableaux de bord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Examen des rapports d'audit et de surveillance microbiologique</w:t>
            </w:r>
            <w:r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-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Prise de décisions stratégiques et ajustement du plan d'action</w:t>
            </w:r>
          </w:p>
        </w:tc>
        <w:tc>
          <w:tcPr>
            <w:tcW w:w="1539" w:type="dxa"/>
          </w:tcPr>
          <w:p w14:paraId="431BD65B" w14:textId="15883C36" w:rsidR="00071B56" w:rsidRPr="002F42E7" w:rsidRDefault="00071B56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Président CLIN / Point focal / DG</w:t>
            </w:r>
          </w:p>
        </w:tc>
        <w:tc>
          <w:tcPr>
            <w:tcW w:w="1629" w:type="dxa"/>
          </w:tcPr>
          <w:p w14:paraId="1DFB35BB" w14:textId="267A930A" w:rsidR="00071B56" w:rsidRPr="002F42E7" w:rsidRDefault="00071B56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Trimestriel (Déc. 2026, Mars, Juin, Sept. 2027)</w:t>
            </w:r>
          </w:p>
        </w:tc>
        <w:tc>
          <w:tcPr>
            <w:tcW w:w="1935" w:type="dxa"/>
          </w:tcPr>
          <w:p w14:paraId="49490F9D" w14:textId="4767B066" w:rsidR="00071B56" w:rsidRPr="002F42E7" w:rsidRDefault="00071B56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CLIN réuni de façon discontinue (1 à 2 fois par an)</w:t>
            </w:r>
          </w:p>
        </w:tc>
        <w:tc>
          <w:tcPr>
            <w:tcW w:w="2410" w:type="dxa"/>
          </w:tcPr>
          <w:p w14:paraId="12E8DB38" w14:textId="6FE71F5E" w:rsidR="00071B56" w:rsidRPr="002F42E7" w:rsidRDefault="00071B56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4 sessions statutaires du CLIN tenues avec procès-verbaux et relevés de décisions</w:t>
            </w:r>
          </w:p>
        </w:tc>
        <w:tc>
          <w:tcPr>
            <w:tcW w:w="1483" w:type="dxa"/>
          </w:tcPr>
          <w:p w14:paraId="0A2EBD60" w14:textId="10AB474C" w:rsidR="00071B56" w:rsidRPr="007C0026" w:rsidRDefault="00071B56" w:rsidP="002F42E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3A54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44427872" w14:textId="77777777" w:rsidTr="003E7C98">
        <w:tc>
          <w:tcPr>
            <w:tcW w:w="1526" w:type="dxa"/>
            <w:vMerge/>
          </w:tcPr>
          <w:p w14:paraId="47E1109D" w14:textId="77777777" w:rsidR="00071B56" w:rsidRPr="007C0026" w:rsidRDefault="00071B56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20473FB6" w14:textId="77777777" w:rsidR="00071B56" w:rsidRPr="007C0026" w:rsidRDefault="00071B56" w:rsidP="002F42E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6863F970" w14:textId="1459035C" w:rsidR="00071B56" w:rsidRPr="002F42E7" w:rsidRDefault="00071B56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1.2.3. Assurer le suivi rapproché de la mise en œuvre des décisions du CLIN et des recommandations d'audit</w:t>
            </w:r>
          </w:p>
        </w:tc>
        <w:tc>
          <w:tcPr>
            <w:tcW w:w="1539" w:type="dxa"/>
          </w:tcPr>
          <w:p w14:paraId="5E653319" w14:textId="093736A2" w:rsidR="00071B56" w:rsidRPr="007C0026" w:rsidRDefault="00071B56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3A54">
              <w:rPr>
                <w:rFonts w:ascii="Times New Roman" w:hAnsi="Times New Roman" w:cs="Times New Roman"/>
                <w:sz w:val="24"/>
                <w:szCs w:val="24"/>
              </w:rPr>
              <w:t>EOPCI / DAF / DG</w:t>
            </w:r>
          </w:p>
        </w:tc>
        <w:tc>
          <w:tcPr>
            <w:tcW w:w="1629" w:type="dxa"/>
          </w:tcPr>
          <w:p w14:paraId="6B66381F" w14:textId="26379D46" w:rsidR="00071B56" w:rsidRPr="007C0026" w:rsidRDefault="00071B56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3A54">
              <w:rPr>
                <w:rFonts w:ascii="Times New Roman" w:hAnsi="Times New Roman" w:cs="Times New Roman"/>
                <w:sz w:val="24"/>
                <w:szCs w:val="24"/>
              </w:rPr>
              <w:t>Continu</w:t>
            </w:r>
          </w:p>
        </w:tc>
        <w:tc>
          <w:tcPr>
            <w:tcW w:w="1935" w:type="dxa"/>
          </w:tcPr>
          <w:p w14:paraId="4B83E8A2" w14:textId="3E9957A7" w:rsidR="00071B56" w:rsidRPr="002F42E7" w:rsidRDefault="00071B56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Faible traçabilité et application des résolutions antérieures</w:t>
            </w:r>
          </w:p>
        </w:tc>
        <w:tc>
          <w:tcPr>
            <w:tcW w:w="2410" w:type="dxa"/>
          </w:tcPr>
          <w:p w14:paraId="1E8073EF" w14:textId="1BC4779D" w:rsidR="00071B56" w:rsidRPr="002F42E7" w:rsidRDefault="00071B56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Tableau de bord de mise en œuvre des recommandations actualisé chaque trimestre</w:t>
            </w:r>
          </w:p>
        </w:tc>
        <w:tc>
          <w:tcPr>
            <w:tcW w:w="1483" w:type="dxa"/>
          </w:tcPr>
          <w:p w14:paraId="40EC4C93" w14:textId="5B2D829F" w:rsidR="00071B56" w:rsidRPr="007C0026" w:rsidRDefault="00071B56" w:rsidP="002F42E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BA3A54">
              <w:rPr>
                <w:rFonts w:ascii="Times New Roman" w:hAnsi="Times New Roman" w:cs="Times New Roman"/>
                <w:sz w:val="24"/>
                <w:szCs w:val="24"/>
              </w:rPr>
              <w:t>Néant</w:t>
            </w:r>
            <w:proofErr w:type="spellEnd"/>
          </w:p>
        </w:tc>
      </w:tr>
      <w:tr w:rsidR="003E7C98" w:rsidRPr="007C0026" w14:paraId="1D173690" w14:textId="77777777" w:rsidTr="003E7C98">
        <w:tc>
          <w:tcPr>
            <w:tcW w:w="1526" w:type="dxa"/>
            <w:vMerge/>
          </w:tcPr>
          <w:p w14:paraId="4AEF90AD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 w:val="restart"/>
          </w:tcPr>
          <w:p w14:paraId="638E2406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>1.2. Élaboration, validation, approbation et dissémination du PTA budgétisé</w:t>
            </w:r>
          </w:p>
        </w:tc>
        <w:tc>
          <w:tcPr>
            <w:tcW w:w="2835" w:type="dxa"/>
          </w:tcPr>
          <w:p w14:paraId="5F08D896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1.2.1. Élaborer le Plan de Travail Annuel (PTA) et le budget prévisionnel PCI/CLIN 2026-2027</w:t>
            </w:r>
          </w:p>
        </w:tc>
        <w:tc>
          <w:tcPr>
            <w:tcW w:w="1539" w:type="dxa"/>
          </w:tcPr>
          <w:p w14:paraId="7169ED99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Point focal / EOPCI</w:t>
            </w:r>
          </w:p>
        </w:tc>
        <w:tc>
          <w:tcPr>
            <w:tcW w:w="1629" w:type="dxa"/>
          </w:tcPr>
          <w:p w14:paraId="07CCF122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Octobre 2026</w:t>
            </w:r>
          </w:p>
        </w:tc>
        <w:tc>
          <w:tcPr>
            <w:tcW w:w="1935" w:type="dxa"/>
          </w:tcPr>
          <w:p w14:paraId="5C4B6437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Plan </w:t>
            </w: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d'action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antérieur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expiré</w:t>
            </w:r>
            <w:proofErr w:type="spellEnd"/>
          </w:p>
        </w:tc>
        <w:tc>
          <w:tcPr>
            <w:tcW w:w="2410" w:type="dxa"/>
          </w:tcPr>
          <w:p w14:paraId="53507B07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Document complet du PTA et budget PCI 2026-2027 finalisé</w:t>
            </w:r>
          </w:p>
        </w:tc>
        <w:tc>
          <w:tcPr>
            <w:tcW w:w="1483" w:type="dxa"/>
          </w:tcPr>
          <w:p w14:paraId="518CAEB5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43141A1C" w14:textId="77777777" w:rsidTr="003E7C98">
        <w:tc>
          <w:tcPr>
            <w:tcW w:w="1526" w:type="dxa"/>
            <w:vMerge/>
          </w:tcPr>
          <w:p w14:paraId="1E94FFDE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55289B0C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11D10C6E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1.2.2. Organiser l'atelier de validation institutionnelle du PTA et du budget PCI/CLIN avec les parties prenantes</w:t>
            </w:r>
          </w:p>
        </w:tc>
        <w:tc>
          <w:tcPr>
            <w:tcW w:w="1539" w:type="dxa"/>
          </w:tcPr>
          <w:p w14:paraId="1BD68F1C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DG / CLIN / Point focal</w:t>
            </w:r>
          </w:p>
        </w:tc>
        <w:tc>
          <w:tcPr>
            <w:tcW w:w="1629" w:type="dxa"/>
          </w:tcPr>
          <w:p w14:paraId="113CF307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Novembre 2026</w:t>
            </w:r>
          </w:p>
        </w:tc>
        <w:tc>
          <w:tcPr>
            <w:tcW w:w="1935" w:type="dxa"/>
          </w:tcPr>
          <w:p w14:paraId="6A43FC74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Projet de PTA non encore validé</w:t>
            </w:r>
          </w:p>
        </w:tc>
        <w:tc>
          <w:tcPr>
            <w:tcW w:w="2410" w:type="dxa"/>
          </w:tcPr>
          <w:p w14:paraId="4D38CEB9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Rapport d'atelier de validation et document de PTA budgétisé validé par consensus</w:t>
            </w:r>
          </w:p>
        </w:tc>
        <w:tc>
          <w:tcPr>
            <w:tcW w:w="1483" w:type="dxa"/>
          </w:tcPr>
          <w:p w14:paraId="175F6E38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02878257" w14:textId="77777777" w:rsidTr="003E7C98">
        <w:tc>
          <w:tcPr>
            <w:tcW w:w="1526" w:type="dxa"/>
            <w:vMerge/>
          </w:tcPr>
          <w:p w14:paraId="753A6DC0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5D9146D3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2956F208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1.2.3. Approuver officiellement le plan élaboré selon les exigences de l'OMS par la Direction Générale</w:t>
            </w:r>
          </w:p>
        </w:tc>
        <w:tc>
          <w:tcPr>
            <w:tcW w:w="1539" w:type="dxa"/>
          </w:tcPr>
          <w:p w14:paraId="078FED88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DG</w:t>
            </w:r>
          </w:p>
        </w:tc>
        <w:tc>
          <w:tcPr>
            <w:tcW w:w="1629" w:type="dxa"/>
          </w:tcPr>
          <w:p w14:paraId="37983EF7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Décembre 2026</w:t>
            </w:r>
          </w:p>
        </w:tc>
        <w:tc>
          <w:tcPr>
            <w:tcW w:w="1935" w:type="dxa"/>
          </w:tcPr>
          <w:p w14:paraId="66B46B49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PTA validé en attente d'approbation hiérarchique</w:t>
            </w:r>
          </w:p>
        </w:tc>
        <w:tc>
          <w:tcPr>
            <w:tcW w:w="2410" w:type="dxa"/>
          </w:tcPr>
          <w:p w14:paraId="3284BC64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PTA officiellement revêtu du visa d'approbation de la DG</w:t>
            </w:r>
          </w:p>
        </w:tc>
        <w:tc>
          <w:tcPr>
            <w:tcW w:w="1483" w:type="dxa"/>
          </w:tcPr>
          <w:p w14:paraId="293C1F3F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Néant</w:t>
            </w:r>
            <w:proofErr w:type="spellEnd"/>
          </w:p>
        </w:tc>
      </w:tr>
      <w:tr w:rsidR="003E7C98" w:rsidRPr="007C0026" w14:paraId="0253FFCE" w14:textId="77777777" w:rsidTr="003E7C98">
        <w:tc>
          <w:tcPr>
            <w:tcW w:w="1526" w:type="dxa"/>
            <w:vMerge/>
          </w:tcPr>
          <w:p w14:paraId="239FFDE7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4BDC4689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5C8AC86A" w14:textId="4FB3F2E4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1.2.4. Disséminer et vulgariser le PTA PCI auprès de l'ensemble des départements et services de soins :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Multiplier et relier les exemplaires du PTA approuvé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Transmettre officiellement aux chefs de pôles et surveillants</w:t>
            </w:r>
          </w:p>
        </w:tc>
        <w:tc>
          <w:tcPr>
            <w:tcW w:w="1539" w:type="dxa"/>
          </w:tcPr>
          <w:p w14:paraId="533771C2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Point focal / EOPCI</w:t>
            </w:r>
          </w:p>
        </w:tc>
        <w:tc>
          <w:tcPr>
            <w:tcW w:w="1629" w:type="dxa"/>
          </w:tcPr>
          <w:p w14:paraId="111404DC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Janvier 2027</w:t>
            </w:r>
          </w:p>
        </w:tc>
        <w:tc>
          <w:tcPr>
            <w:tcW w:w="1935" w:type="dxa"/>
          </w:tcPr>
          <w:p w14:paraId="480B162E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PTA non vulgarisé dans les unités de soins</w:t>
            </w:r>
          </w:p>
        </w:tc>
        <w:tc>
          <w:tcPr>
            <w:tcW w:w="2410" w:type="dxa"/>
          </w:tcPr>
          <w:p w14:paraId="6C5ECDA2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Bordereau de transmission et diffusion du PTA dans 100% des services hospitaliers</w:t>
            </w:r>
          </w:p>
        </w:tc>
        <w:tc>
          <w:tcPr>
            <w:tcW w:w="1483" w:type="dxa"/>
          </w:tcPr>
          <w:p w14:paraId="0C03A169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245B2F70" w14:textId="77777777" w:rsidTr="003E7C98">
        <w:tc>
          <w:tcPr>
            <w:tcW w:w="1526" w:type="dxa"/>
            <w:vMerge/>
          </w:tcPr>
          <w:p w14:paraId="6B894053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0B759CBB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3A0A5D9E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1.2.5. Intégrer le PTA et le budget PCI au Plan Intégré de Travail Annuel (PITA 2027) du CHUMEL</w:t>
            </w:r>
          </w:p>
        </w:tc>
        <w:tc>
          <w:tcPr>
            <w:tcW w:w="1539" w:type="dxa"/>
          </w:tcPr>
          <w:p w14:paraId="3AB64C44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DG / DAF / Point focal</w:t>
            </w:r>
          </w:p>
        </w:tc>
        <w:tc>
          <w:tcPr>
            <w:tcW w:w="1629" w:type="dxa"/>
          </w:tcPr>
          <w:p w14:paraId="7E98ACAF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Janvier 2027</w:t>
            </w:r>
          </w:p>
        </w:tc>
        <w:tc>
          <w:tcPr>
            <w:tcW w:w="1935" w:type="dxa"/>
          </w:tcPr>
          <w:p w14:paraId="4225A990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Lignes budgétaires PCI non inscrites au budget hospitalier</w:t>
            </w:r>
          </w:p>
        </w:tc>
        <w:tc>
          <w:tcPr>
            <w:tcW w:w="2410" w:type="dxa"/>
          </w:tcPr>
          <w:p w14:paraId="39E6DA0C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Lignes budgétaires et activités PCI inscrites et votées dans le PITA 2027 du CHUMEL</w:t>
            </w:r>
          </w:p>
        </w:tc>
        <w:tc>
          <w:tcPr>
            <w:tcW w:w="1483" w:type="dxa"/>
          </w:tcPr>
          <w:p w14:paraId="6847C4F1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Néant</w:t>
            </w:r>
            <w:proofErr w:type="spellEnd"/>
          </w:p>
        </w:tc>
      </w:tr>
      <w:tr w:rsidR="003E7C98" w:rsidRPr="007C0026" w14:paraId="53B2BD7D" w14:textId="77777777" w:rsidTr="003E7C98">
        <w:tc>
          <w:tcPr>
            <w:tcW w:w="1526" w:type="dxa"/>
            <w:vMerge w:val="restart"/>
          </w:tcPr>
          <w:p w14:paraId="5937A604" w14:textId="50B7A688" w:rsidR="002F42E7" w:rsidRPr="003E7C98" w:rsidRDefault="002F42E7" w:rsidP="002F42E7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3E7C98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II. LIGNES DIRECTRIES</w:t>
            </w:r>
          </w:p>
        </w:tc>
        <w:tc>
          <w:tcPr>
            <w:tcW w:w="1843" w:type="dxa"/>
            <w:vMerge w:val="restart"/>
          </w:tcPr>
          <w:p w14:paraId="46E8C87C" w14:textId="77777777" w:rsidR="002F42E7" w:rsidRPr="003E7C98" w:rsidRDefault="002F42E7" w:rsidP="002F42E7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fr-FR"/>
              </w:rPr>
            </w:pPr>
            <w:r w:rsidRPr="003E7C98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fr-FR"/>
              </w:rPr>
              <w:t xml:space="preserve">2.1. Élaboration, </w:t>
            </w:r>
            <w:r w:rsidRPr="003E7C98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fr-FR"/>
              </w:rPr>
              <w:lastRenderedPageBreak/>
              <w:t>révision et diffusion des lignes directrices et Procédures Opérationnelles Standardisées (POS)</w:t>
            </w:r>
          </w:p>
        </w:tc>
        <w:tc>
          <w:tcPr>
            <w:tcW w:w="2835" w:type="dxa"/>
          </w:tcPr>
          <w:p w14:paraId="6B601F80" w14:textId="77777777" w:rsidR="002F42E7" w:rsidRPr="002F42E7" w:rsidRDefault="002F42E7" w:rsidP="003E7C98">
            <w:pPr>
              <w:ind w:right="30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 xml:space="preserve">2.1.1. Réaliser la relecture des lignes directrices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nationales et internationales (OMS) de PCI et les adapter au contexte du CHUMEL</w:t>
            </w:r>
          </w:p>
        </w:tc>
        <w:tc>
          <w:tcPr>
            <w:tcW w:w="1539" w:type="dxa"/>
          </w:tcPr>
          <w:p w14:paraId="61A56543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EOPCI / CLIN</w:t>
            </w:r>
          </w:p>
        </w:tc>
        <w:tc>
          <w:tcPr>
            <w:tcW w:w="1629" w:type="dxa"/>
          </w:tcPr>
          <w:p w14:paraId="212AAD9C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Novembre 2026</w:t>
            </w:r>
          </w:p>
        </w:tc>
        <w:tc>
          <w:tcPr>
            <w:tcW w:w="1935" w:type="dxa"/>
          </w:tcPr>
          <w:p w14:paraId="7D52ED38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Lignes directrices obsolètes ou non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adaptées au contexte pédiatrique et gynéco-obstétrical</w:t>
            </w:r>
          </w:p>
        </w:tc>
        <w:tc>
          <w:tcPr>
            <w:tcW w:w="2410" w:type="dxa"/>
          </w:tcPr>
          <w:p w14:paraId="71637C58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 xml:space="preserve">Rapport d'analyse et guide des lignes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directrices hospitalières actualisé</w:t>
            </w:r>
          </w:p>
        </w:tc>
        <w:tc>
          <w:tcPr>
            <w:tcW w:w="1483" w:type="dxa"/>
          </w:tcPr>
          <w:p w14:paraId="10A637AE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FP</w:t>
            </w:r>
          </w:p>
        </w:tc>
      </w:tr>
      <w:tr w:rsidR="003E7C98" w:rsidRPr="007C0026" w14:paraId="247B4D79" w14:textId="77777777" w:rsidTr="003E7C98">
        <w:tc>
          <w:tcPr>
            <w:tcW w:w="1526" w:type="dxa"/>
            <w:vMerge/>
          </w:tcPr>
          <w:p w14:paraId="0B1C55DB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5916662F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4B5AF8AF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2.1.2. Élaborer, réviser et standardiser le corpus des Procédures Opérationnelles Standardisées (POS) prioritaires :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1- POS Bionettoyage des locaux, blocs opératoires et néonatologie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2- POS Cathétérisme veineux périphérique et central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3- POS Sondage vésical à demeure et soins de sonde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4- POS Hygiène des mains (lavage simple, hygiénique et friction)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5- POS Tri, collecte et stockage des Déchets Biomédicaux (DBM)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6- POS Conduite à tenir en cas d'Accident d'Exposition au Sang (AES)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7- POS Préparation et contrôle des antiseptiques et désinfectants</w:t>
            </w:r>
          </w:p>
        </w:tc>
        <w:tc>
          <w:tcPr>
            <w:tcW w:w="1539" w:type="dxa"/>
          </w:tcPr>
          <w:p w14:paraId="7C0322B8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EOPCI / Comité de rédaction (8 experts)</w:t>
            </w:r>
          </w:p>
        </w:tc>
        <w:tc>
          <w:tcPr>
            <w:tcW w:w="1629" w:type="dxa"/>
          </w:tcPr>
          <w:p w14:paraId="1F57E22F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Décembre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2026 - Janvier 2027</w:t>
            </w:r>
          </w:p>
        </w:tc>
        <w:tc>
          <w:tcPr>
            <w:tcW w:w="1935" w:type="dxa"/>
          </w:tcPr>
          <w:p w14:paraId="098CE9F0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POS parcellaires, non harmonisées et non signées</w:t>
            </w:r>
          </w:p>
        </w:tc>
        <w:tc>
          <w:tcPr>
            <w:tcW w:w="2410" w:type="dxa"/>
          </w:tcPr>
          <w:p w14:paraId="7DF74CE3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Recueil validé de 10 POS prioritaires rédigé selon le standard OMS</w:t>
            </w:r>
          </w:p>
        </w:tc>
        <w:tc>
          <w:tcPr>
            <w:tcW w:w="1483" w:type="dxa"/>
          </w:tcPr>
          <w:p w14:paraId="134DA338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4F2EAB30" w14:textId="77777777" w:rsidTr="003E7C98">
        <w:tc>
          <w:tcPr>
            <w:tcW w:w="1526" w:type="dxa"/>
            <w:vMerge/>
          </w:tcPr>
          <w:p w14:paraId="2957E24A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2B9107BA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75E2320D" w14:textId="21C4F989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2.1.3. Organiser une séance statutaire de validation technique des POS élaborées par le CLIN et la direction</w:t>
            </w:r>
          </w:p>
        </w:tc>
        <w:tc>
          <w:tcPr>
            <w:tcW w:w="1539" w:type="dxa"/>
          </w:tcPr>
          <w:p w14:paraId="01A70181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CLIN / DG</w:t>
            </w:r>
          </w:p>
        </w:tc>
        <w:tc>
          <w:tcPr>
            <w:tcW w:w="1629" w:type="dxa"/>
          </w:tcPr>
          <w:p w14:paraId="7EF1712D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Février 2027</w:t>
            </w:r>
          </w:p>
        </w:tc>
        <w:tc>
          <w:tcPr>
            <w:tcW w:w="1935" w:type="dxa"/>
          </w:tcPr>
          <w:p w14:paraId="0F8FB7D9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Projets de POS en attente de validation</w:t>
            </w:r>
          </w:p>
        </w:tc>
        <w:tc>
          <w:tcPr>
            <w:tcW w:w="2410" w:type="dxa"/>
          </w:tcPr>
          <w:p w14:paraId="178CBF73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Procès-verbal de validation technique et décision d'application obligatoire signée par la DG</w:t>
            </w:r>
          </w:p>
        </w:tc>
        <w:tc>
          <w:tcPr>
            <w:tcW w:w="1483" w:type="dxa"/>
          </w:tcPr>
          <w:p w14:paraId="0D995A6C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7B811876" w14:textId="77777777" w:rsidTr="003E7C98">
        <w:tc>
          <w:tcPr>
            <w:tcW w:w="1526" w:type="dxa"/>
            <w:vMerge/>
          </w:tcPr>
          <w:p w14:paraId="4C6A34FE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217FC4F9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3DB44FFC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2.1.4. Mettre à disposition, reproduire et plastifier les classeurs de POS et fiches réflexes dans l'ensemble des services de soins</w:t>
            </w:r>
          </w:p>
        </w:tc>
        <w:tc>
          <w:tcPr>
            <w:tcW w:w="1539" w:type="dxa"/>
          </w:tcPr>
          <w:p w14:paraId="496D53FB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EOPCI / Économat</w:t>
            </w:r>
          </w:p>
        </w:tc>
        <w:tc>
          <w:tcPr>
            <w:tcW w:w="1629" w:type="dxa"/>
          </w:tcPr>
          <w:p w14:paraId="023BB16F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Mars 2027</w:t>
            </w:r>
          </w:p>
        </w:tc>
        <w:tc>
          <w:tcPr>
            <w:tcW w:w="1935" w:type="dxa"/>
          </w:tcPr>
          <w:p w14:paraId="47129C5B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Absence de classeurs physiques de POS dans les postes de soins</w:t>
            </w:r>
          </w:p>
        </w:tc>
        <w:tc>
          <w:tcPr>
            <w:tcW w:w="2410" w:type="dxa"/>
          </w:tcPr>
          <w:p w14:paraId="30052F45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20 classeurs complets de POS plastifiés installés dans 100% des postes de soins et blocs</w:t>
            </w:r>
          </w:p>
        </w:tc>
        <w:tc>
          <w:tcPr>
            <w:tcW w:w="1483" w:type="dxa"/>
          </w:tcPr>
          <w:p w14:paraId="51F33D3C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6BC56B85" w14:textId="77777777" w:rsidTr="003E7C98">
        <w:tc>
          <w:tcPr>
            <w:tcW w:w="1526" w:type="dxa"/>
            <w:vMerge/>
          </w:tcPr>
          <w:p w14:paraId="229455C3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2FAAED16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4B563743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2.1.5. Conduire des séances de briefing et d'appropriation des POS auprès du personnel soignant des pôles</w:t>
            </w:r>
          </w:p>
        </w:tc>
        <w:tc>
          <w:tcPr>
            <w:tcW w:w="1539" w:type="dxa"/>
          </w:tcPr>
          <w:p w14:paraId="4592F01D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Formateurs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internes / EOPCI</w:t>
            </w:r>
          </w:p>
        </w:tc>
        <w:tc>
          <w:tcPr>
            <w:tcW w:w="1629" w:type="dxa"/>
          </w:tcPr>
          <w:p w14:paraId="31125C28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Mars - Avril 2027</w:t>
            </w:r>
          </w:p>
        </w:tc>
        <w:tc>
          <w:tcPr>
            <w:tcW w:w="1935" w:type="dxa"/>
          </w:tcPr>
          <w:p w14:paraId="28663948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Méconnaissance des protocoles par les équipes de garde</w:t>
            </w:r>
          </w:p>
        </w:tc>
        <w:tc>
          <w:tcPr>
            <w:tcW w:w="2410" w:type="dxa"/>
          </w:tcPr>
          <w:p w14:paraId="74B05552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Au moins 80% des équipes soignantes briefées avec feuilles d'émargement</w:t>
            </w:r>
          </w:p>
        </w:tc>
        <w:tc>
          <w:tcPr>
            <w:tcW w:w="1483" w:type="dxa"/>
          </w:tcPr>
          <w:p w14:paraId="2BC626A6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46C3A923" w14:textId="77777777" w:rsidTr="003E7C98">
        <w:tc>
          <w:tcPr>
            <w:tcW w:w="1526" w:type="dxa"/>
            <w:vMerge w:val="restart"/>
          </w:tcPr>
          <w:p w14:paraId="0FBAB685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>III. FORMATION ET ÉDUCATION EN PCI</w:t>
            </w:r>
          </w:p>
        </w:tc>
        <w:tc>
          <w:tcPr>
            <w:tcW w:w="1843" w:type="dxa"/>
            <w:vMerge w:val="restart"/>
          </w:tcPr>
          <w:p w14:paraId="7950046A" w14:textId="77777777" w:rsidR="002F42E7" w:rsidRPr="002F42E7" w:rsidRDefault="002F42E7" w:rsidP="002F42E7">
            <w:pPr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>3.1. Planification et formation continue du personnel soignant et médico-technique</w:t>
            </w:r>
          </w:p>
          <w:p w14:paraId="08F8C0B2" w14:textId="05B035E8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2835" w:type="dxa"/>
          </w:tcPr>
          <w:p w14:paraId="4A051EDE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3.1.1. Faire un planning annuel de formation du personnel hospitalier en PCI :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Recueillir et analyser les besoins en formation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Élaborer les modules pédagogiques et le calendrier annuel</w:t>
            </w:r>
          </w:p>
        </w:tc>
        <w:tc>
          <w:tcPr>
            <w:tcW w:w="1539" w:type="dxa"/>
          </w:tcPr>
          <w:p w14:paraId="417DF8F3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Point focal / EOPCI</w:t>
            </w:r>
          </w:p>
        </w:tc>
        <w:tc>
          <w:tcPr>
            <w:tcW w:w="1629" w:type="dxa"/>
          </w:tcPr>
          <w:p w14:paraId="18C45500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Novembre 2026</w:t>
            </w:r>
          </w:p>
        </w:tc>
        <w:tc>
          <w:tcPr>
            <w:tcW w:w="1935" w:type="dxa"/>
          </w:tcPr>
          <w:p w14:paraId="3EFDA8DB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Formations antérieures ponctuelles sans plan formalisé</w:t>
            </w:r>
          </w:p>
        </w:tc>
        <w:tc>
          <w:tcPr>
            <w:tcW w:w="2410" w:type="dxa"/>
          </w:tcPr>
          <w:p w14:paraId="2443BAD1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Plan annuel de formation PCI 2026-2027 approuvé par la Direction</w:t>
            </w:r>
          </w:p>
        </w:tc>
        <w:tc>
          <w:tcPr>
            <w:tcW w:w="1483" w:type="dxa"/>
          </w:tcPr>
          <w:p w14:paraId="5562B4EC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52F933E3" w14:textId="77777777" w:rsidTr="003E7C98">
        <w:tc>
          <w:tcPr>
            <w:tcW w:w="1526" w:type="dxa"/>
            <w:vMerge/>
          </w:tcPr>
          <w:p w14:paraId="5B3C70AA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38BB1881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7CA7D22B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3.1.2. Faire un planning de formation continue et de perfectionnement pour l'équipe PCI et les formateurs internes</w:t>
            </w:r>
          </w:p>
        </w:tc>
        <w:tc>
          <w:tcPr>
            <w:tcW w:w="1539" w:type="dxa"/>
          </w:tcPr>
          <w:p w14:paraId="4D36BC7F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Point focal / CLIN</w:t>
            </w:r>
          </w:p>
        </w:tc>
        <w:tc>
          <w:tcPr>
            <w:tcW w:w="1629" w:type="dxa"/>
          </w:tcPr>
          <w:p w14:paraId="47EA3E29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Décembre 2026</w:t>
            </w:r>
          </w:p>
        </w:tc>
        <w:tc>
          <w:tcPr>
            <w:tcW w:w="1935" w:type="dxa"/>
          </w:tcPr>
          <w:p w14:paraId="005F8590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Mise à jour hétérogène des compétences de l'équipe</w:t>
            </w:r>
          </w:p>
        </w:tc>
        <w:tc>
          <w:tcPr>
            <w:tcW w:w="2410" w:type="dxa"/>
          </w:tcPr>
          <w:p w14:paraId="6B93908B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Planning de formation continue exécuté (4 modules de perfectionnement)</w:t>
            </w:r>
          </w:p>
        </w:tc>
        <w:tc>
          <w:tcPr>
            <w:tcW w:w="1483" w:type="dxa"/>
          </w:tcPr>
          <w:p w14:paraId="171D1D49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7CB330EC" w14:textId="77777777" w:rsidTr="003E7C98">
        <w:tc>
          <w:tcPr>
            <w:tcW w:w="1526" w:type="dxa"/>
            <w:vMerge/>
          </w:tcPr>
          <w:p w14:paraId="3D487869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20403208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59CC273C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3.1.3. Former l'ensemble du personnel soignant aux Précautions Standard et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 xml:space="preserve">Précautions Complémentaires une fois par an (focus COVID-19, Fièvre de Lassa, </w:t>
            </w:r>
            <w:proofErr w:type="spellStart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Mpox</w:t>
            </w:r>
            <w:proofErr w:type="spellEnd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) :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Diffuser les notes de service et plannings de passage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Dispenser les sessions modulaires (500 professionnels ciblés)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Réaliser les pré-tests et post-tests de compétences</w:t>
            </w:r>
          </w:p>
        </w:tc>
        <w:tc>
          <w:tcPr>
            <w:tcW w:w="1539" w:type="dxa"/>
          </w:tcPr>
          <w:p w14:paraId="080A09D5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Formateurs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internes / EOPCI / DG</w:t>
            </w:r>
          </w:p>
        </w:tc>
        <w:tc>
          <w:tcPr>
            <w:tcW w:w="1629" w:type="dxa"/>
          </w:tcPr>
          <w:p w14:paraId="0427EC7A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Janvier - Mars 2027</w:t>
            </w:r>
          </w:p>
        </w:tc>
        <w:tc>
          <w:tcPr>
            <w:tcW w:w="1935" w:type="dxa"/>
          </w:tcPr>
          <w:p w14:paraId="0AA7AB5D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Personnel soignant formé à moins de 35%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sur les nouvelles directives</w:t>
            </w:r>
          </w:p>
        </w:tc>
        <w:tc>
          <w:tcPr>
            <w:tcW w:w="2410" w:type="dxa"/>
          </w:tcPr>
          <w:p w14:paraId="5D65B43F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500 professionnels de santé formés, évalués et attestés</w:t>
            </w:r>
          </w:p>
        </w:tc>
        <w:tc>
          <w:tcPr>
            <w:tcW w:w="1483" w:type="dxa"/>
          </w:tcPr>
          <w:p w14:paraId="21C0CE33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2F42E7" w14:paraId="1F4D4FF1" w14:textId="77777777" w:rsidTr="003E7C98">
        <w:tc>
          <w:tcPr>
            <w:tcW w:w="1526" w:type="dxa"/>
            <w:vMerge/>
          </w:tcPr>
          <w:p w14:paraId="0DA64490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14:paraId="3EA0F100" w14:textId="5FA13009" w:rsidR="002F42E7" w:rsidRPr="007C0026" w:rsidRDefault="002F42E7" w:rsidP="002F42E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6611BD91" w14:textId="77689D26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Organiser les sessions sur les techniques de lavage</w:t>
            </w:r>
            <w:r w:rsidR="003E7C98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</w:t>
            </w:r>
            <w:proofErr w:type="gramStart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des main</w:t>
            </w:r>
            <w:proofErr w:type="gramEnd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au personnel des services hospitaliers et connexes </w:t>
            </w:r>
          </w:p>
          <w:p w14:paraId="5BEA56E9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  <w:p w14:paraId="3F4A58AE" w14:textId="17A17581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-Sensibilisation des agents sur les </w:t>
            </w:r>
            <w:r w:rsidR="003E7C98"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techniques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de lavage des main </w:t>
            </w:r>
          </w:p>
        </w:tc>
        <w:tc>
          <w:tcPr>
            <w:tcW w:w="1539" w:type="dxa"/>
          </w:tcPr>
          <w:p w14:paraId="2238D039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629" w:type="dxa"/>
          </w:tcPr>
          <w:p w14:paraId="7898D958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935" w:type="dxa"/>
          </w:tcPr>
          <w:p w14:paraId="1AD6FF7B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2410" w:type="dxa"/>
          </w:tcPr>
          <w:p w14:paraId="4513C48F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483" w:type="dxa"/>
          </w:tcPr>
          <w:p w14:paraId="2268889A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</w:pPr>
          </w:p>
        </w:tc>
      </w:tr>
      <w:tr w:rsidR="003E7C98" w:rsidRPr="007C0026" w14:paraId="452B2A58" w14:textId="77777777" w:rsidTr="003E7C98">
        <w:tc>
          <w:tcPr>
            <w:tcW w:w="1526" w:type="dxa"/>
            <w:vMerge/>
          </w:tcPr>
          <w:p w14:paraId="0168C8FF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843" w:type="dxa"/>
          </w:tcPr>
          <w:p w14:paraId="2BF38A79" w14:textId="5DFEFA6A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 xml:space="preserve">3.2. Formation pratique des agents d'entretien et aides-soignants sur le bionettoyage et la gestion des déchets biomédicaux </w:t>
            </w:r>
          </w:p>
        </w:tc>
        <w:tc>
          <w:tcPr>
            <w:tcW w:w="2835" w:type="dxa"/>
          </w:tcPr>
          <w:p w14:paraId="39140166" w14:textId="026083B8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3.2.1. Organiser des sessions pratiques de formation des agents d’entretien et aides-soignants sur le bionettoyage et la gestion des déchets hospitalier :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Techniques de bionettoyage (du plus propre vers le plus sale)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 xml:space="preserve">- Dilution et dosage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corrects des détergents-désinfectants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Gestion sécurisée des excréta et du linge souillé (300 agents ciblés)</w:t>
            </w:r>
          </w:p>
        </w:tc>
        <w:tc>
          <w:tcPr>
            <w:tcW w:w="1539" w:type="dxa"/>
          </w:tcPr>
          <w:p w14:paraId="4F86894C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Formateurs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internes / EOPCI</w:t>
            </w:r>
          </w:p>
        </w:tc>
        <w:tc>
          <w:tcPr>
            <w:tcW w:w="1629" w:type="dxa"/>
          </w:tcPr>
          <w:p w14:paraId="774E05AB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Février - Avril 2027</w:t>
            </w:r>
          </w:p>
        </w:tc>
        <w:tc>
          <w:tcPr>
            <w:tcW w:w="1935" w:type="dxa"/>
          </w:tcPr>
          <w:p w14:paraId="073C61E4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Pratiques empiriques et erreurs de dilution des produits</w:t>
            </w:r>
          </w:p>
        </w:tc>
        <w:tc>
          <w:tcPr>
            <w:tcW w:w="2410" w:type="dxa"/>
          </w:tcPr>
          <w:p w14:paraId="3284298B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300 agents d'entretien et aides-soignants formés avec évaluation pratique sur site</w:t>
            </w:r>
          </w:p>
        </w:tc>
        <w:tc>
          <w:tcPr>
            <w:tcW w:w="1483" w:type="dxa"/>
          </w:tcPr>
          <w:p w14:paraId="133A7870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559289FB" w14:textId="77777777" w:rsidTr="003E7C98">
        <w:tc>
          <w:tcPr>
            <w:tcW w:w="1526" w:type="dxa"/>
            <w:vMerge/>
          </w:tcPr>
          <w:p w14:paraId="24043AA7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14:paraId="514AD37C" w14:textId="0BD5AFBD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3.3. Éducation sanitaire des usagers </w:t>
            </w:r>
          </w:p>
        </w:tc>
        <w:tc>
          <w:tcPr>
            <w:tcW w:w="2835" w:type="dxa"/>
          </w:tcPr>
          <w:p w14:paraId="3EA02C71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3.3.1. Organiser des séances régulières d'éducation et de sensibilisation sur les pratiques d’hygiène de base pour les patients et les accompagnants :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Hygiène des mains et utilisation correcte des distributeurs de savon/PHA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Propreté des chambres et tri des déchets ménagers</w:t>
            </w:r>
          </w:p>
        </w:tc>
        <w:tc>
          <w:tcPr>
            <w:tcW w:w="1539" w:type="dxa"/>
          </w:tcPr>
          <w:p w14:paraId="21D5B036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EOPCI / Points focaux services / Service social</w:t>
            </w:r>
          </w:p>
        </w:tc>
        <w:tc>
          <w:tcPr>
            <w:tcW w:w="1629" w:type="dxa"/>
          </w:tcPr>
          <w:p w14:paraId="1DD5D432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Continu (Nov. 2026 - Sept. 2027)</w:t>
            </w:r>
          </w:p>
        </w:tc>
        <w:tc>
          <w:tcPr>
            <w:tcW w:w="1935" w:type="dxa"/>
          </w:tcPr>
          <w:p w14:paraId="2F3A4E11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Absence de sensibilisation structurée des usagers</w:t>
            </w:r>
          </w:p>
        </w:tc>
        <w:tc>
          <w:tcPr>
            <w:tcW w:w="2410" w:type="dxa"/>
          </w:tcPr>
          <w:p w14:paraId="6AD1BC16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Au moins 2 séances d'éducation par semaine par service (&gt; 2 000 accompagnants touchés)</w:t>
            </w:r>
          </w:p>
        </w:tc>
        <w:tc>
          <w:tcPr>
            <w:tcW w:w="1483" w:type="dxa"/>
          </w:tcPr>
          <w:p w14:paraId="0B299700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2D7C222F" w14:textId="77777777" w:rsidTr="003E7C98">
        <w:tc>
          <w:tcPr>
            <w:tcW w:w="1526" w:type="dxa"/>
          </w:tcPr>
          <w:p w14:paraId="4D7279D7" w14:textId="77777777" w:rsidR="002F42E7" w:rsidRPr="007C0026" w:rsidRDefault="002F42E7" w:rsidP="002F42E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</w:tcPr>
          <w:p w14:paraId="3BB90FC9" w14:textId="4A311936" w:rsidR="002F42E7" w:rsidRPr="007C0026" w:rsidRDefault="002F42E7" w:rsidP="002F42E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4. </w:t>
            </w: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participation aux </w:t>
            </w:r>
            <w:proofErr w:type="spellStart"/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congrès</w:t>
            </w:r>
            <w:proofErr w:type="spellEnd"/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scientifiques</w:t>
            </w:r>
            <w:proofErr w:type="spellEnd"/>
          </w:p>
        </w:tc>
        <w:tc>
          <w:tcPr>
            <w:tcW w:w="2835" w:type="dxa"/>
          </w:tcPr>
          <w:p w14:paraId="459F7453" w14:textId="26D84A9D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3.3.2. Assurer la participation de la délégation du CHUMEL aux congrès scientifiques de PCI (SB2HPCI / HBEEPTI) (15 membres ciblés)</w:t>
            </w:r>
          </w:p>
        </w:tc>
        <w:tc>
          <w:tcPr>
            <w:tcW w:w="1539" w:type="dxa"/>
          </w:tcPr>
          <w:p w14:paraId="113E79FC" w14:textId="52B33C94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DG / Point focal PCI</w:t>
            </w:r>
          </w:p>
        </w:tc>
        <w:tc>
          <w:tcPr>
            <w:tcW w:w="1629" w:type="dxa"/>
          </w:tcPr>
          <w:p w14:paraId="24DA6641" w14:textId="4127E7E9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Mai - Juin 2027</w:t>
            </w:r>
          </w:p>
        </w:tc>
        <w:tc>
          <w:tcPr>
            <w:tcW w:w="1935" w:type="dxa"/>
          </w:tcPr>
          <w:p w14:paraId="69919DCF" w14:textId="32F8AFEF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Participation irrégulière sans partage systématique</w:t>
            </w:r>
          </w:p>
        </w:tc>
        <w:tc>
          <w:tcPr>
            <w:tcW w:w="2410" w:type="dxa"/>
          </w:tcPr>
          <w:p w14:paraId="125FF202" w14:textId="098238F2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15 professionnels ayant participé au congrès et restitution formelle faite au CLIN</w:t>
            </w:r>
          </w:p>
        </w:tc>
        <w:tc>
          <w:tcPr>
            <w:tcW w:w="1483" w:type="dxa"/>
          </w:tcPr>
          <w:p w14:paraId="05D3E81C" w14:textId="63CF5C93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52AF0277" w14:textId="77777777" w:rsidTr="003E7C98">
        <w:tc>
          <w:tcPr>
            <w:tcW w:w="1526" w:type="dxa"/>
          </w:tcPr>
          <w:p w14:paraId="7E17D832" w14:textId="77777777" w:rsidR="002F42E7" w:rsidRPr="007C0026" w:rsidRDefault="002F42E7" w:rsidP="002F42E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</w:tcPr>
          <w:p w14:paraId="73CDE01C" w14:textId="1E09B71F" w:rsidR="002F42E7" w:rsidRPr="002F42E7" w:rsidRDefault="002F42E7" w:rsidP="002F42E7">
            <w:pPr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>7.3. Journée mondiale de l'hygiène des mains et restitution des données</w:t>
            </w:r>
          </w:p>
        </w:tc>
        <w:tc>
          <w:tcPr>
            <w:tcW w:w="2835" w:type="dxa"/>
          </w:tcPr>
          <w:p w14:paraId="3C1B8C61" w14:textId="341F0448" w:rsidR="001F7A28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7.3.1. Faire une journée de l’hygiène des mains (organisation et célébration de la Journée internationale du 5 mai 2027</w:t>
            </w:r>
            <w:proofErr w:type="gramStart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«Sauvez</w:t>
            </w:r>
            <w:proofErr w:type="gramEnd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des vies : nettoyez-vous les mains»):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- Conférences thématiques et ateliers de démonstration pratique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Concours d'émulation du service le plus observant avec remise de prix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Distribution de flacons individuels de solution hydro-alcoolique (PHA)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Stands d'information grand public et couverture médiatique</w:t>
            </w:r>
          </w:p>
        </w:tc>
        <w:tc>
          <w:tcPr>
            <w:tcW w:w="1539" w:type="dxa"/>
          </w:tcPr>
          <w:p w14:paraId="07E548F9" w14:textId="5332926E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CLIN / EOPCI / DG</w:t>
            </w:r>
          </w:p>
        </w:tc>
        <w:tc>
          <w:tcPr>
            <w:tcW w:w="1629" w:type="dxa"/>
          </w:tcPr>
          <w:p w14:paraId="022D22DF" w14:textId="5628554F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Mai 2027</w:t>
            </w:r>
          </w:p>
        </w:tc>
        <w:tc>
          <w:tcPr>
            <w:tcW w:w="1935" w:type="dxa"/>
          </w:tcPr>
          <w:p w14:paraId="189F7126" w14:textId="645D9F40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Célébration ponctuelle à faible impact</w:t>
            </w:r>
          </w:p>
        </w:tc>
        <w:tc>
          <w:tcPr>
            <w:tcW w:w="2410" w:type="dxa"/>
          </w:tcPr>
          <w:p w14:paraId="37C471C2" w14:textId="76B33523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Journée célébrée avec succès, mobilisation de plus de 500 professionnels, usagers et étudiants primés</w:t>
            </w:r>
          </w:p>
        </w:tc>
        <w:tc>
          <w:tcPr>
            <w:tcW w:w="1483" w:type="dxa"/>
          </w:tcPr>
          <w:p w14:paraId="064CFDBD" w14:textId="540A663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 / PTF</w:t>
            </w:r>
          </w:p>
        </w:tc>
      </w:tr>
      <w:tr w:rsidR="003E7C98" w:rsidRPr="002F42E7" w14:paraId="70EE6FF2" w14:textId="77777777" w:rsidTr="003E7C98">
        <w:tc>
          <w:tcPr>
            <w:tcW w:w="1526" w:type="dxa"/>
          </w:tcPr>
          <w:p w14:paraId="49BCAEA6" w14:textId="77777777" w:rsidR="002F42E7" w:rsidRPr="007C0026" w:rsidRDefault="002F42E7" w:rsidP="002F42E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</w:tcPr>
          <w:p w14:paraId="6684E906" w14:textId="77777777" w:rsidR="002F42E7" w:rsidRPr="007C0026" w:rsidRDefault="002F42E7" w:rsidP="002F42E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13EC7967" w14:textId="4C76EE20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Participer au congrès de la soci</w:t>
            </w:r>
            <w:r w:rsidR="001F7A28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é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té béninoise d’hygiène hospitalière EOPCI</w:t>
            </w:r>
          </w:p>
        </w:tc>
        <w:tc>
          <w:tcPr>
            <w:tcW w:w="1539" w:type="dxa"/>
          </w:tcPr>
          <w:p w14:paraId="71FA1F4F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629" w:type="dxa"/>
          </w:tcPr>
          <w:p w14:paraId="23901110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935" w:type="dxa"/>
          </w:tcPr>
          <w:p w14:paraId="68EB53EC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2410" w:type="dxa"/>
          </w:tcPr>
          <w:p w14:paraId="26FF7F05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483" w:type="dxa"/>
          </w:tcPr>
          <w:p w14:paraId="32B8A714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</w:pPr>
          </w:p>
        </w:tc>
      </w:tr>
      <w:tr w:rsidR="003E7C98" w:rsidRPr="007C0026" w14:paraId="3AA3B92F" w14:textId="77777777" w:rsidTr="003E7C98">
        <w:tc>
          <w:tcPr>
            <w:tcW w:w="1526" w:type="dxa"/>
            <w:vMerge w:val="restart"/>
          </w:tcPr>
          <w:p w14:paraId="6A03F133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V. SURVEILLANCE DES IAS</w:t>
            </w:r>
          </w:p>
        </w:tc>
        <w:tc>
          <w:tcPr>
            <w:tcW w:w="1843" w:type="dxa"/>
            <w:vMerge w:val="restart"/>
          </w:tcPr>
          <w:p w14:paraId="34491D33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>5.1. Dispositif de surveillance épidémiologique des infections associées aux soins</w:t>
            </w:r>
          </w:p>
        </w:tc>
        <w:tc>
          <w:tcPr>
            <w:tcW w:w="2835" w:type="dxa"/>
          </w:tcPr>
          <w:p w14:paraId="73F2080A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5.1.1. Élaborer, valider et déployer le plan institutionnel de surveillance des Infections Associées aux Soins (IAS) :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Définir les protocoles de surveillance ciblée (Infections du Site Opératoire, bactériémies sur cathéter, infections urinaires sur sonde, infections néonatales)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Standardiser les fiches de recueil et de notification</w:t>
            </w:r>
          </w:p>
        </w:tc>
        <w:tc>
          <w:tcPr>
            <w:tcW w:w="1539" w:type="dxa"/>
          </w:tcPr>
          <w:p w14:paraId="272B51A8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EOPCI / </w:t>
            </w: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Réanimation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Maternité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/ Pédiatrie</w:t>
            </w:r>
          </w:p>
        </w:tc>
        <w:tc>
          <w:tcPr>
            <w:tcW w:w="1629" w:type="dxa"/>
          </w:tcPr>
          <w:p w14:paraId="43E874C5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Novembre - Décembre 2026</w:t>
            </w:r>
          </w:p>
        </w:tc>
        <w:tc>
          <w:tcPr>
            <w:tcW w:w="1935" w:type="dxa"/>
          </w:tcPr>
          <w:p w14:paraId="47D48222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Protocole institutionnel de surveillance inexistant</w:t>
            </w:r>
          </w:p>
        </w:tc>
        <w:tc>
          <w:tcPr>
            <w:tcW w:w="2410" w:type="dxa"/>
          </w:tcPr>
          <w:p w14:paraId="3E9120A7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Plan et protocoles de surveillance des IAS validés et déployés</w:t>
            </w:r>
          </w:p>
        </w:tc>
        <w:tc>
          <w:tcPr>
            <w:tcW w:w="1483" w:type="dxa"/>
          </w:tcPr>
          <w:p w14:paraId="609E7963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20C35E93" w14:textId="77777777" w:rsidTr="003E7C98">
        <w:tc>
          <w:tcPr>
            <w:tcW w:w="1526" w:type="dxa"/>
            <w:vMerge/>
          </w:tcPr>
          <w:p w14:paraId="36042155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577F8AE0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52FF9AC6" w14:textId="1B3EE589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5.1.2. Organiser des enquêtes épidémiologiques sur les IAS </w:t>
            </w:r>
            <w:proofErr w:type="gramStart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( une</w:t>
            </w:r>
            <w:proofErr w:type="gramEnd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enquête dans les départements d’intérêts au CHU-MEL)</w:t>
            </w:r>
          </w:p>
        </w:tc>
        <w:tc>
          <w:tcPr>
            <w:tcW w:w="1539" w:type="dxa"/>
          </w:tcPr>
          <w:p w14:paraId="32E1913F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EOPCI / Équipes de soins</w:t>
            </w:r>
          </w:p>
        </w:tc>
        <w:tc>
          <w:tcPr>
            <w:tcW w:w="1629" w:type="dxa"/>
          </w:tcPr>
          <w:p w14:paraId="128DE645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Janvier 2027 et Juillet 2027</w:t>
            </w:r>
          </w:p>
        </w:tc>
        <w:tc>
          <w:tcPr>
            <w:tcW w:w="1935" w:type="dxa"/>
          </w:tcPr>
          <w:p w14:paraId="68C7AA5F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Taux de prévalence global des IAS au CHUMEL méconnu</w:t>
            </w:r>
          </w:p>
        </w:tc>
        <w:tc>
          <w:tcPr>
            <w:tcW w:w="2410" w:type="dxa"/>
          </w:tcPr>
          <w:p w14:paraId="4EDFFF63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2 enquêtes de prévalence un jour donné réalisées et rapports analytiques diffusés</w:t>
            </w:r>
          </w:p>
        </w:tc>
        <w:tc>
          <w:tcPr>
            <w:tcW w:w="1483" w:type="dxa"/>
          </w:tcPr>
          <w:p w14:paraId="025562FE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2F42E7" w14:paraId="44DCCC93" w14:textId="77777777" w:rsidTr="003E7C98">
        <w:tc>
          <w:tcPr>
            <w:tcW w:w="1526" w:type="dxa"/>
            <w:vMerge/>
          </w:tcPr>
          <w:p w14:paraId="4EAA916D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14:paraId="0099F338" w14:textId="77777777" w:rsidR="002F42E7" w:rsidRPr="007C0026" w:rsidRDefault="002F42E7" w:rsidP="002F42E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2D145F0C" w14:textId="48D58B85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Organiser la collecte </w:t>
            </w:r>
            <w:proofErr w:type="spellStart"/>
            <w:proofErr w:type="gramStart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hedomadairement</w:t>
            </w:r>
            <w:proofErr w:type="spellEnd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 de</w:t>
            </w:r>
            <w:proofErr w:type="gramEnd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donnée sur les IAS par les point focaux IAS de service </w:t>
            </w:r>
          </w:p>
        </w:tc>
        <w:tc>
          <w:tcPr>
            <w:tcW w:w="1539" w:type="dxa"/>
          </w:tcPr>
          <w:p w14:paraId="018F0F94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629" w:type="dxa"/>
          </w:tcPr>
          <w:p w14:paraId="685552EE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935" w:type="dxa"/>
          </w:tcPr>
          <w:p w14:paraId="2C5B5276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2410" w:type="dxa"/>
          </w:tcPr>
          <w:p w14:paraId="467745F8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483" w:type="dxa"/>
          </w:tcPr>
          <w:p w14:paraId="68C41169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</w:tr>
      <w:tr w:rsidR="003E7C98" w:rsidRPr="002F42E7" w14:paraId="668E7198" w14:textId="77777777" w:rsidTr="003E7C98">
        <w:tc>
          <w:tcPr>
            <w:tcW w:w="1526" w:type="dxa"/>
            <w:vMerge/>
          </w:tcPr>
          <w:p w14:paraId="47587D4D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843" w:type="dxa"/>
          </w:tcPr>
          <w:p w14:paraId="28CBD14F" w14:textId="77777777" w:rsidR="002F42E7" w:rsidRPr="002F42E7" w:rsidRDefault="002F42E7" w:rsidP="002F42E7">
            <w:pPr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</w:pPr>
          </w:p>
        </w:tc>
        <w:tc>
          <w:tcPr>
            <w:tcW w:w="2835" w:type="dxa"/>
          </w:tcPr>
          <w:p w14:paraId="5BB7C4BF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Faire une analyse hebdomadaire </w:t>
            </w:r>
          </w:p>
          <w:p w14:paraId="0C66F841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  <w:p w14:paraId="2E29917A" w14:textId="1BE9AC1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proofErr w:type="spellStart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Presenter</w:t>
            </w:r>
            <w:proofErr w:type="spellEnd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les résultats à la </w:t>
            </w:r>
            <w:proofErr w:type="spellStart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reunion</w:t>
            </w:r>
            <w:proofErr w:type="spellEnd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hebdomadaire de l’EOPCI </w:t>
            </w:r>
          </w:p>
        </w:tc>
        <w:tc>
          <w:tcPr>
            <w:tcW w:w="1539" w:type="dxa"/>
          </w:tcPr>
          <w:p w14:paraId="0BBEBDA1" w14:textId="38ED4D25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629" w:type="dxa"/>
          </w:tcPr>
          <w:p w14:paraId="2F7D87D4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935" w:type="dxa"/>
          </w:tcPr>
          <w:p w14:paraId="7DD0AEA6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2410" w:type="dxa"/>
          </w:tcPr>
          <w:p w14:paraId="49C8FFF4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483" w:type="dxa"/>
          </w:tcPr>
          <w:p w14:paraId="3F1011FA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</w:tr>
      <w:tr w:rsidR="003E7C98" w:rsidRPr="007C0026" w14:paraId="254D8054" w14:textId="77777777" w:rsidTr="003E7C98">
        <w:tc>
          <w:tcPr>
            <w:tcW w:w="1526" w:type="dxa"/>
            <w:vMerge/>
          </w:tcPr>
          <w:p w14:paraId="020FFF01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843" w:type="dxa"/>
            <w:vMerge w:val="restart"/>
          </w:tcPr>
          <w:p w14:paraId="3AB68C6D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>5.2. Microbiologie hospitalière et recherche des germes nosocomiaux</w:t>
            </w:r>
          </w:p>
        </w:tc>
        <w:tc>
          <w:tcPr>
            <w:tcW w:w="2835" w:type="dxa"/>
          </w:tcPr>
          <w:p w14:paraId="0835FAE2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5.2.1. Intégrer les aspects d’analyse microbiologique et de contrôle environnemental dans les activités régulières du laboratoire du CHUMEL :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Standardiser les techniques de prélèvement d'air, d'eau et de surfaces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Ouvrir un registre dédié aux contrôles bactériologiques d'hygiène</w:t>
            </w:r>
          </w:p>
        </w:tc>
        <w:tc>
          <w:tcPr>
            <w:tcW w:w="1539" w:type="dxa"/>
          </w:tcPr>
          <w:p w14:paraId="19E66CF2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Chef Service </w:t>
            </w: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Laboratoire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/ EOPCI</w:t>
            </w:r>
          </w:p>
        </w:tc>
        <w:tc>
          <w:tcPr>
            <w:tcW w:w="1629" w:type="dxa"/>
          </w:tcPr>
          <w:p w14:paraId="37EE4646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Décembre 2026</w:t>
            </w:r>
          </w:p>
        </w:tc>
        <w:tc>
          <w:tcPr>
            <w:tcW w:w="1935" w:type="dxa"/>
          </w:tcPr>
          <w:p w14:paraId="4B0AB469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Contrôles bactériologiques d'hygiène non systématisés</w:t>
            </w:r>
          </w:p>
        </w:tc>
        <w:tc>
          <w:tcPr>
            <w:tcW w:w="2410" w:type="dxa"/>
          </w:tcPr>
          <w:p w14:paraId="74B7F6D5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Procédure d'analyse microbiologique intégrée au catalogue des prestations du laboratoire</w:t>
            </w:r>
          </w:p>
        </w:tc>
        <w:tc>
          <w:tcPr>
            <w:tcW w:w="1483" w:type="dxa"/>
          </w:tcPr>
          <w:p w14:paraId="50854FA6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Néant</w:t>
            </w:r>
            <w:proofErr w:type="spellEnd"/>
          </w:p>
        </w:tc>
      </w:tr>
      <w:tr w:rsidR="003E7C98" w:rsidRPr="007C0026" w14:paraId="02DE1174" w14:textId="77777777" w:rsidTr="003E7C98">
        <w:tc>
          <w:tcPr>
            <w:tcW w:w="1526" w:type="dxa"/>
            <w:vMerge/>
          </w:tcPr>
          <w:p w14:paraId="2940D502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373873EF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00FDDF5B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5.2.2. Exécuter le programme annuel de recherche des germes nosocomiaux et profils de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résistance aux antibiotiques (33 processus / séries de prélèvements environnementaux et sentinelles) :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Prélèvements de surfaces dans les blocs opératoires, réanimation, néonatologie et biberonnerie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Contrôle bactériologique de l'air et de la stérilisation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Isolement des bactéries multirésistantes (BMR) et établissement des antibiogrammes</w:t>
            </w:r>
          </w:p>
          <w:p w14:paraId="70B0227C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  <w:p w14:paraId="0BC4793C" w14:textId="1D82E229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Analyser les alertes infectieuses et incidents de la semaine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Coordonner les activités de terrain et les supervisions</w:t>
            </w:r>
          </w:p>
        </w:tc>
        <w:tc>
          <w:tcPr>
            <w:tcW w:w="1539" w:type="dxa"/>
          </w:tcPr>
          <w:p w14:paraId="0B6BAB5F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Laboratoire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bactériologie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/ EOPCI</w:t>
            </w:r>
          </w:p>
        </w:tc>
        <w:tc>
          <w:tcPr>
            <w:tcW w:w="1629" w:type="dxa"/>
          </w:tcPr>
          <w:p w14:paraId="3C9A144F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Continu (Octobre 2026 - Septembre 2027)</w:t>
            </w:r>
          </w:p>
        </w:tc>
        <w:tc>
          <w:tcPr>
            <w:tcW w:w="1935" w:type="dxa"/>
          </w:tcPr>
          <w:p w14:paraId="7E09E865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Données sporadiques d'écologie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bactérienne hospitalière</w:t>
            </w:r>
          </w:p>
        </w:tc>
        <w:tc>
          <w:tcPr>
            <w:tcW w:w="2410" w:type="dxa"/>
          </w:tcPr>
          <w:p w14:paraId="5D2578C1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 xml:space="preserve">33 séries de contrôles microbiologiques exécutées avec cartographie complète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de l'écologie microbienne du CHUMEL</w:t>
            </w:r>
          </w:p>
        </w:tc>
        <w:tc>
          <w:tcPr>
            <w:tcW w:w="1483" w:type="dxa"/>
          </w:tcPr>
          <w:p w14:paraId="01966CF1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FP</w:t>
            </w:r>
          </w:p>
        </w:tc>
      </w:tr>
      <w:tr w:rsidR="003E7C98" w:rsidRPr="007C0026" w14:paraId="13BD58AF" w14:textId="77777777" w:rsidTr="003E7C98">
        <w:tc>
          <w:tcPr>
            <w:tcW w:w="1526" w:type="dxa"/>
            <w:vMerge w:val="restart"/>
          </w:tcPr>
          <w:p w14:paraId="414E62EF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>VII. SUIVI, AUDITS ET RESTITUTION DES RÉSULTATS</w:t>
            </w:r>
          </w:p>
        </w:tc>
        <w:tc>
          <w:tcPr>
            <w:tcW w:w="1843" w:type="dxa"/>
            <w:vMerge w:val="restart"/>
          </w:tcPr>
          <w:p w14:paraId="773636E0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>7.1. Dispositif de mesure, indicateurs et équipements informatiques de suivi-évaluation</w:t>
            </w:r>
          </w:p>
        </w:tc>
        <w:tc>
          <w:tcPr>
            <w:tcW w:w="2835" w:type="dxa"/>
          </w:tcPr>
          <w:p w14:paraId="75E41739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7.1.1. Identifier et formaliser les indicateurs clés de suivi de la PCI (taux d'observance de l'hygiène des mains, conformité de pose/entretien des cathéters, conformité de pose des sondes urinaires, respect du tri des DBM,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conformité du bionettoyage, taux d'AES)</w:t>
            </w:r>
          </w:p>
        </w:tc>
        <w:tc>
          <w:tcPr>
            <w:tcW w:w="1539" w:type="dxa"/>
          </w:tcPr>
          <w:p w14:paraId="4A5BDC9E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EOPCI</w:t>
            </w:r>
          </w:p>
        </w:tc>
        <w:tc>
          <w:tcPr>
            <w:tcW w:w="1629" w:type="dxa"/>
          </w:tcPr>
          <w:p w14:paraId="412B7D6E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Novembre 2026</w:t>
            </w:r>
          </w:p>
        </w:tc>
        <w:tc>
          <w:tcPr>
            <w:tcW w:w="1935" w:type="dxa"/>
          </w:tcPr>
          <w:p w14:paraId="3C77AB3F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Absence de liste consensuelle d'indicateurs standardisés</w:t>
            </w:r>
          </w:p>
        </w:tc>
        <w:tc>
          <w:tcPr>
            <w:tcW w:w="2410" w:type="dxa"/>
          </w:tcPr>
          <w:p w14:paraId="55F151E6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Répertoire de 6 indicateurs prioritaires formalisé avec fiches de calcul documentées</w:t>
            </w:r>
          </w:p>
        </w:tc>
        <w:tc>
          <w:tcPr>
            <w:tcW w:w="1483" w:type="dxa"/>
          </w:tcPr>
          <w:p w14:paraId="25DFBF5F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Néant</w:t>
            </w:r>
            <w:proofErr w:type="spellEnd"/>
          </w:p>
        </w:tc>
      </w:tr>
      <w:tr w:rsidR="003E7C98" w:rsidRPr="007C0026" w14:paraId="0A4E66C0" w14:textId="77777777" w:rsidTr="003E7C98">
        <w:tc>
          <w:tcPr>
            <w:tcW w:w="1526" w:type="dxa"/>
            <w:vMerge/>
          </w:tcPr>
          <w:p w14:paraId="61FFFBC0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3469EE36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5EE451F3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7.1.2. Élaborer, tester et dupliquer les outils et grilles standardisés d'audit clinique et de recueil de données de terrain</w:t>
            </w:r>
          </w:p>
        </w:tc>
        <w:tc>
          <w:tcPr>
            <w:tcW w:w="1539" w:type="dxa"/>
          </w:tcPr>
          <w:p w14:paraId="7828CA4A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EOPCI</w:t>
            </w:r>
          </w:p>
        </w:tc>
        <w:tc>
          <w:tcPr>
            <w:tcW w:w="1629" w:type="dxa"/>
          </w:tcPr>
          <w:p w14:paraId="4FE5721E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Décembre 2026</w:t>
            </w:r>
          </w:p>
        </w:tc>
        <w:tc>
          <w:tcPr>
            <w:tcW w:w="1935" w:type="dxa"/>
          </w:tcPr>
          <w:p w14:paraId="3057BED8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Grilles d'audit disparates non harmonisées</w:t>
            </w:r>
          </w:p>
        </w:tc>
        <w:tc>
          <w:tcPr>
            <w:tcW w:w="2410" w:type="dxa"/>
          </w:tcPr>
          <w:p w14:paraId="3141250F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Kit complet de grilles d'audit clinique validé et disponible sous formats papier et électronique</w:t>
            </w:r>
          </w:p>
        </w:tc>
        <w:tc>
          <w:tcPr>
            <w:tcW w:w="1483" w:type="dxa"/>
          </w:tcPr>
          <w:p w14:paraId="2B3779F5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7250A4E5" w14:textId="77777777" w:rsidTr="003E7C98">
        <w:tc>
          <w:tcPr>
            <w:tcW w:w="1526" w:type="dxa"/>
            <w:vMerge/>
          </w:tcPr>
          <w:p w14:paraId="7CC896CF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364E72D8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26A88FF4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7.1.3. Doter l'unité PCI en matériels informatiques et de bureau indispensables au recueil statistique et à la gestion documentaire :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- 1 Ordinateur portable dédié aux données PCI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- 1 Imprimante multifonction (impression des grilles et rapports)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- 1 Disque dur SSD externe 1 To et 1 clé USB 32 Go (sauvegarde et archivage)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- 1 Armoire de rangement sécurisée des archives du CLIN</w:t>
            </w:r>
          </w:p>
          <w:p w14:paraId="55A50838" w14:textId="2B600123" w:rsid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Fournitures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 bureau</w:t>
            </w:r>
          </w:p>
          <w:p w14:paraId="7A9894D1" w14:textId="4ECB4894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9" w:type="dxa"/>
          </w:tcPr>
          <w:p w14:paraId="4A9219A6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DAF / EOPCI</w:t>
            </w:r>
          </w:p>
        </w:tc>
        <w:tc>
          <w:tcPr>
            <w:tcW w:w="1629" w:type="dxa"/>
          </w:tcPr>
          <w:p w14:paraId="61EEDBBB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Novembre 2026</w:t>
            </w:r>
          </w:p>
        </w:tc>
        <w:tc>
          <w:tcPr>
            <w:tcW w:w="1935" w:type="dxa"/>
          </w:tcPr>
          <w:p w14:paraId="23707A63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Matériels informatiques semi-fonctionnels risquant de céder à tout moment (doc PTA CLIN)</w:t>
            </w:r>
          </w:p>
        </w:tc>
        <w:tc>
          <w:tcPr>
            <w:tcW w:w="2410" w:type="dxa"/>
          </w:tcPr>
          <w:p w14:paraId="2D13FF8F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Unité PCI dotée d'équipements informatiques et d'une armoire de rangement neufs et fonctionnels</w:t>
            </w:r>
          </w:p>
        </w:tc>
        <w:tc>
          <w:tcPr>
            <w:tcW w:w="1483" w:type="dxa"/>
          </w:tcPr>
          <w:p w14:paraId="733FD162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16160B68" w14:textId="77777777" w:rsidTr="003E7C98">
        <w:tc>
          <w:tcPr>
            <w:tcW w:w="1526" w:type="dxa"/>
            <w:vMerge/>
          </w:tcPr>
          <w:p w14:paraId="1AD2CE9E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 w:val="restart"/>
          </w:tcPr>
          <w:p w14:paraId="244D4CC1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>7.2. Évaluations mensuelles et audits cliniques des pratiques de soins</w:t>
            </w:r>
          </w:p>
        </w:tc>
        <w:tc>
          <w:tcPr>
            <w:tcW w:w="2835" w:type="dxa"/>
          </w:tcPr>
          <w:p w14:paraId="44865B49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7.2.1. Faire une fois par mois l’évaluation de l’hygiène des mains dans les services de soins (évaluation observationnelle de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l'observance sur 500 opportunités par trimestre)</w:t>
            </w:r>
          </w:p>
        </w:tc>
        <w:tc>
          <w:tcPr>
            <w:tcW w:w="1539" w:type="dxa"/>
          </w:tcPr>
          <w:p w14:paraId="7168CAD2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EOPCI / Points </w:t>
            </w: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focaux</w:t>
            </w:r>
            <w:proofErr w:type="spellEnd"/>
          </w:p>
        </w:tc>
        <w:tc>
          <w:tcPr>
            <w:tcW w:w="1629" w:type="dxa"/>
          </w:tcPr>
          <w:p w14:paraId="5C39C92E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Mensuel (Oct. 2026 - Sept. 2027)</w:t>
            </w:r>
          </w:p>
        </w:tc>
        <w:tc>
          <w:tcPr>
            <w:tcW w:w="1935" w:type="dxa"/>
          </w:tcPr>
          <w:p w14:paraId="2FE7E352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Taux d'observance initial méconnu ou &lt; 40%</w:t>
            </w:r>
          </w:p>
        </w:tc>
        <w:tc>
          <w:tcPr>
            <w:tcW w:w="2410" w:type="dxa"/>
          </w:tcPr>
          <w:p w14:paraId="6E08930F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12 rapports d'évaluation mensuelle ; taux d'observance global cible supérieur à 70%</w:t>
            </w:r>
          </w:p>
        </w:tc>
        <w:tc>
          <w:tcPr>
            <w:tcW w:w="1483" w:type="dxa"/>
          </w:tcPr>
          <w:p w14:paraId="59FE9139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67B6C3DA" w14:textId="77777777" w:rsidTr="003E7C98">
        <w:tc>
          <w:tcPr>
            <w:tcW w:w="1526" w:type="dxa"/>
            <w:vMerge/>
          </w:tcPr>
          <w:p w14:paraId="063190FF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36944607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714F47A4" w14:textId="59AFDBD0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7.2.3. Réaliser des audits internes PCI trimestriels sur la gestion des cathéters veineux, la gestion des DBM et le bionettoyage dans l'ensemble des services </w:t>
            </w:r>
          </w:p>
        </w:tc>
        <w:tc>
          <w:tcPr>
            <w:tcW w:w="1539" w:type="dxa"/>
          </w:tcPr>
          <w:p w14:paraId="097C5B43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EOPCI / CLIN</w:t>
            </w:r>
          </w:p>
        </w:tc>
        <w:tc>
          <w:tcPr>
            <w:tcW w:w="1629" w:type="dxa"/>
          </w:tcPr>
          <w:p w14:paraId="02C5D669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Trimestriel (Déc. 2026, Mars, Juin, Sept. 2027)</w:t>
            </w:r>
          </w:p>
        </w:tc>
        <w:tc>
          <w:tcPr>
            <w:tcW w:w="1935" w:type="dxa"/>
          </w:tcPr>
          <w:p w14:paraId="7ABF2F0A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Audits cliniques sporadiques sans planification</w:t>
            </w:r>
          </w:p>
        </w:tc>
        <w:tc>
          <w:tcPr>
            <w:tcW w:w="2410" w:type="dxa"/>
          </w:tcPr>
          <w:p w14:paraId="137C9BFB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4 rapports d'audit interne produits assortis de plans de correction validés</w:t>
            </w:r>
          </w:p>
        </w:tc>
        <w:tc>
          <w:tcPr>
            <w:tcW w:w="1483" w:type="dxa"/>
          </w:tcPr>
          <w:p w14:paraId="2E78B4A4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2F42E7" w14:paraId="43EB898B" w14:textId="77777777" w:rsidTr="003E7C98">
        <w:tc>
          <w:tcPr>
            <w:tcW w:w="1526" w:type="dxa"/>
            <w:vMerge/>
          </w:tcPr>
          <w:p w14:paraId="3204A1B2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14:paraId="76BBE681" w14:textId="77777777" w:rsidR="002F42E7" w:rsidRPr="007C0026" w:rsidRDefault="002F42E7" w:rsidP="002F42E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2186CF96" w14:textId="1E6A3631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proofErr w:type="spellStart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Realiser</w:t>
            </w:r>
            <w:proofErr w:type="spellEnd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un suivi mensuel de la qualité de la gestion des déchets biomédicaux  </w:t>
            </w:r>
          </w:p>
        </w:tc>
        <w:tc>
          <w:tcPr>
            <w:tcW w:w="1539" w:type="dxa"/>
          </w:tcPr>
          <w:p w14:paraId="4BD6768C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629" w:type="dxa"/>
          </w:tcPr>
          <w:p w14:paraId="7D8EB684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935" w:type="dxa"/>
          </w:tcPr>
          <w:p w14:paraId="66FCE81A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2410" w:type="dxa"/>
          </w:tcPr>
          <w:p w14:paraId="0F611AEB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483" w:type="dxa"/>
          </w:tcPr>
          <w:p w14:paraId="1B526B50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</w:pPr>
          </w:p>
        </w:tc>
      </w:tr>
      <w:tr w:rsidR="003E7C98" w:rsidRPr="007C0026" w14:paraId="63E91C1F" w14:textId="77777777" w:rsidTr="003E7C98">
        <w:tc>
          <w:tcPr>
            <w:tcW w:w="1526" w:type="dxa"/>
            <w:vMerge/>
          </w:tcPr>
          <w:p w14:paraId="2406F8E8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843" w:type="dxa"/>
          </w:tcPr>
          <w:p w14:paraId="3A87A94F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2835" w:type="dxa"/>
          </w:tcPr>
          <w:p w14:paraId="01770B0D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7.3.2. Élaborer un plan de restitution des audits aux parties prenantes et animer les réunions trimestrielles de restitution et retour d'information (feedback)</w:t>
            </w:r>
          </w:p>
        </w:tc>
        <w:tc>
          <w:tcPr>
            <w:tcW w:w="1539" w:type="dxa"/>
          </w:tcPr>
          <w:p w14:paraId="4EEFB2E9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EOPCI / CLIN</w:t>
            </w:r>
          </w:p>
        </w:tc>
        <w:tc>
          <w:tcPr>
            <w:tcW w:w="1629" w:type="dxa"/>
          </w:tcPr>
          <w:p w14:paraId="5CAF6F88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Novembre 2026 puis Trimestriel</w:t>
            </w:r>
          </w:p>
        </w:tc>
        <w:tc>
          <w:tcPr>
            <w:tcW w:w="1935" w:type="dxa"/>
          </w:tcPr>
          <w:p w14:paraId="5156A65F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Absence de circuit formalisé de feedback des résultats aux équipes soignantes</w:t>
            </w:r>
          </w:p>
        </w:tc>
        <w:tc>
          <w:tcPr>
            <w:tcW w:w="2410" w:type="dxa"/>
          </w:tcPr>
          <w:p w14:paraId="04396EEB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Plan de restitution validé et 4 réunions trimestrielles de feedback tenues auprès des chefs de pôles et majors</w:t>
            </w:r>
          </w:p>
        </w:tc>
        <w:tc>
          <w:tcPr>
            <w:tcW w:w="1483" w:type="dxa"/>
          </w:tcPr>
          <w:p w14:paraId="2A60F022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6680AE55" w14:textId="77777777" w:rsidTr="003E7C98">
        <w:tc>
          <w:tcPr>
            <w:tcW w:w="1526" w:type="dxa"/>
            <w:vMerge w:val="restart"/>
          </w:tcPr>
          <w:p w14:paraId="00E8ADF4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>VIII. CHARGES DE TRAVAIL, DOTATION EN PERSONNEL, GESTION DES DÉCHETS BIOMÉDICAUX ET ENVIRONN</w:t>
            </w: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lastRenderedPageBreak/>
              <w:t>EMENT BÂTI (WASH)</w:t>
            </w:r>
          </w:p>
        </w:tc>
        <w:tc>
          <w:tcPr>
            <w:tcW w:w="1843" w:type="dxa"/>
          </w:tcPr>
          <w:p w14:paraId="79661133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lastRenderedPageBreak/>
              <w:t>8.1. Charge de travail, dotation en personnel, fiches de poste et réseau de points focaux</w:t>
            </w:r>
          </w:p>
        </w:tc>
        <w:tc>
          <w:tcPr>
            <w:tcW w:w="2835" w:type="dxa"/>
          </w:tcPr>
          <w:p w14:paraId="5BAECE22" w14:textId="2D6D2935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8.1.1. Faire l’évaluation de la charge de travail, du niveau de dotation en personnel soignant au CHUMEL, ainsi </w:t>
            </w:r>
            <w:proofErr w:type="gramStart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que  de</w:t>
            </w:r>
            <w:proofErr w:type="gramEnd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l’occupation des lits et de leurs espacements dans les pôles d'hospitalisation</w:t>
            </w:r>
          </w:p>
        </w:tc>
        <w:tc>
          <w:tcPr>
            <w:tcW w:w="1539" w:type="dxa"/>
          </w:tcPr>
          <w:p w14:paraId="5C26D66D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EOPCI / DSIO / DRH</w:t>
            </w:r>
          </w:p>
        </w:tc>
        <w:tc>
          <w:tcPr>
            <w:tcW w:w="1629" w:type="dxa"/>
          </w:tcPr>
          <w:p w14:paraId="58FCF8E6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Janvier - Février 2027</w:t>
            </w:r>
          </w:p>
        </w:tc>
        <w:tc>
          <w:tcPr>
            <w:tcW w:w="1935" w:type="dxa"/>
          </w:tcPr>
          <w:p w14:paraId="7BE57F92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Promiscuité des lits et surcharge de travail non quantifiées objectivement</w:t>
            </w:r>
          </w:p>
        </w:tc>
        <w:tc>
          <w:tcPr>
            <w:tcW w:w="2410" w:type="dxa"/>
          </w:tcPr>
          <w:p w14:paraId="2E5BF316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Rapport d'évaluation disponible préconisant le respect de l'espacement minimal d'1 mètre et l'adaptation des ratios</w:t>
            </w:r>
          </w:p>
        </w:tc>
        <w:tc>
          <w:tcPr>
            <w:tcW w:w="1483" w:type="dxa"/>
          </w:tcPr>
          <w:p w14:paraId="18894DF7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5C38D693" w14:textId="77777777" w:rsidTr="003E7C98">
        <w:tc>
          <w:tcPr>
            <w:tcW w:w="1526" w:type="dxa"/>
            <w:vMerge/>
          </w:tcPr>
          <w:p w14:paraId="500A6EAA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 w:val="restart"/>
          </w:tcPr>
          <w:p w14:paraId="3B4452BD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 xml:space="preserve">8.2. Gestion sécurisée et filière d'élimination des Déchets </w:t>
            </w: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lastRenderedPageBreak/>
              <w:t>Biomédicaux (DBM)</w:t>
            </w:r>
          </w:p>
        </w:tc>
        <w:tc>
          <w:tcPr>
            <w:tcW w:w="2835" w:type="dxa"/>
          </w:tcPr>
          <w:p w14:paraId="4726F47A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 xml:space="preserve">8.2.1. Superviser mensuellement la gestion des déchets biomédicaux dans les services (tri à la source, conditionnement en sacs jaunes,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pesée/tonnage, transport interne et stockage temporaire)</w:t>
            </w:r>
          </w:p>
        </w:tc>
        <w:tc>
          <w:tcPr>
            <w:tcW w:w="1539" w:type="dxa"/>
          </w:tcPr>
          <w:p w14:paraId="3C7DC1AA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EOPCI / Service </w:t>
            </w: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Salubrité</w:t>
            </w:r>
            <w:proofErr w:type="spellEnd"/>
          </w:p>
        </w:tc>
        <w:tc>
          <w:tcPr>
            <w:tcW w:w="1629" w:type="dxa"/>
          </w:tcPr>
          <w:p w14:paraId="3F7B6C54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Mensuel (Continu)</w:t>
            </w:r>
          </w:p>
        </w:tc>
        <w:tc>
          <w:tcPr>
            <w:tcW w:w="1935" w:type="dxa"/>
          </w:tcPr>
          <w:p w14:paraId="7CF7969F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Mélanges fréquents de déchets et ruptures de sacs poubelles</w:t>
            </w:r>
          </w:p>
        </w:tc>
        <w:tc>
          <w:tcPr>
            <w:tcW w:w="2410" w:type="dxa"/>
          </w:tcPr>
          <w:p w14:paraId="415A563C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12 rapports mensuels de supervision ; taux de conformité du tri à la source supérieur à 80%</w:t>
            </w:r>
          </w:p>
        </w:tc>
        <w:tc>
          <w:tcPr>
            <w:tcW w:w="1483" w:type="dxa"/>
          </w:tcPr>
          <w:p w14:paraId="41AB1B08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Néant</w:t>
            </w:r>
            <w:proofErr w:type="spellEnd"/>
          </w:p>
        </w:tc>
      </w:tr>
      <w:tr w:rsidR="003E7C98" w:rsidRPr="007C0026" w14:paraId="44C522A6" w14:textId="77777777" w:rsidTr="003E7C98">
        <w:tc>
          <w:tcPr>
            <w:tcW w:w="1526" w:type="dxa"/>
            <w:vMerge/>
          </w:tcPr>
          <w:p w14:paraId="1A1CBBC1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5B5BA810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664B5C8E" w14:textId="6778910F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8.2.3. </w:t>
            </w:r>
            <w:proofErr w:type="gramStart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superviser</w:t>
            </w:r>
            <w:proofErr w:type="gramEnd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la disponibilité des équipements du lavage des mains, du </w:t>
            </w:r>
            <w:proofErr w:type="spellStart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bionetoyage</w:t>
            </w:r>
            <w:proofErr w:type="spellEnd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du lavage et </w:t>
            </w:r>
            <w:proofErr w:type="spellStart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sterilisation</w:t>
            </w:r>
            <w:proofErr w:type="spellEnd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des linges  et équipements médicaux </w:t>
            </w:r>
          </w:p>
        </w:tc>
        <w:tc>
          <w:tcPr>
            <w:tcW w:w="1539" w:type="dxa"/>
          </w:tcPr>
          <w:p w14:paraId="742A9F41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DAF / Économat / EOPCI</w:t>
            </w:r>
          </w:p>
        </w:tc>
        <w:tc>
          <w:tcPr>
            <w:tcW w:w="1629" w:type="dxa"/>
          </w:tcPr>
          <w:p w14:paraId="222C817E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Novembre - Décembre 2026</w:t>
            </w:r>
          </w:p>
        </w:tc>
        <w:tc>
          <w:tcPr>
            <w:tcW w:w="1935" w:type="dxa"/>
          </w:tcPr>
          <w:p w14:paraId="20708270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Poubelles vétustes, absence de pédale sur plusieurs postes, absence de pesée systématique</w:t>
            </w:r>
          </w:p>
        </w:tc>
        <w:tc>
          <w:tcPr>
            <w:tcW w:w="2410" w:type="dxa"/>
          </w:tcPr>
          <w:p w14:paraId="1748B6FE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50 poubelles à pédale neuves réparties dans les unités et 1 système de pesage/tonnage fonctionnel</w:t>
            </w:r>
          </w:p>
        </w:tc>
        <w:tc>
          <w:tcPr>
            <w:tcW w:w="1483" w:type="dxa"/>
          </w:tcPr>
          <w:p w14:paraId="5BA0D981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2F42E7" w14:paraId="623F26D1" w14:textId="77777777" w:rsidTr="003E7C98">
        <w:tc>
          <w:tcPr>
            <w:tcW w:w="1526" w:type="dxa"/>
            <w:vMerge/>
          </w:tcPr>
          <w:p w14:paraId="59CF0CA6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77252E0B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686451DB" w14:textId="1761E503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8.2.4. Faire installer un incinérateur hospitalier fonctionnel et de capacité suffisante </w:t>
            </w:r>
          </w:p>
        </w:tc>
        <w:tc>
          <w:tcPr>
            <w:tcW w:w="1539" w:type="dxa"/>
          </w:tcPr>
          <w:p w14:paraId="6BA5341E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DG / DST / Ministère de la Santé / PTF</w:t>
            </w:r>
          </w:p>
        </w:tc>
        <w:tc>
          <w:tcPr>
            <w:tcW w:w="1629" w:type="dxa"/>
          </w:tcPr>
          <w:p w14:paraId="3BCD62E0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Janvier - </w:t>
            </w: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Août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2027</w:t>
            </w:r>
          </w:p>
        </w:tc>
        <w:tc>
          <w:tcPr>
            <w:tcW w:w="1935" w:type="dxa"/>
          </w:tcPr>
          <w:p w14:paraId="51570E81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Traitement non optimal des DBM / incinérateur défaillant</w:t>
            </w:r>
          </w:p>
        </w:tc>
        <w:tc>
          <w:tcPr>
            <w:tcW w:w="2410" w:type="dxa"/>
          </w:tcPr>
          <w:p w14:paraId="13D4509E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Dossier technique finalisé, financements mobilisés et incinérateur de capacité suffisante réceptionné</w:t>
            </w:r>
          </w:p>
        </w:tc>
        <w:tc>
          <w:tcPr>
            <w:tcW w:w="1483" w:type="dxa"/>
          </w:tcPr>
          <w:p w14:paraId="53258A80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>FP (études) / PTF-État (travaux)</w:t>
            </w:r>
          </w:p>
        </w:tc>
      </w:tr>
      <w:tr w:rsidR="003E7C98" w:rsidRPr="007C0026" w14:paraId="04BC1ED1" w14:textId="77777777" w:rsidTr="003E7C98">
        <w:tc>
          <w:tcPr>
            <w:tcW w:w="1526" w:type="dxa"/>
            <w:vMerge/>
          </w:tcPr>
          <w:p w14:paraId="2BC1035B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843" w:type="dxa"/>
            <w:vMerge w:val="restart"/>
          </w:tcPr>
          <w:p w14:paraId="26AA9553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  <w:t>8.3. Eau, assainissement, contrôle des désinfectants et approvisionnement en consommables (WASH)</w:t>
            </w:r>
          </w:p>
        </w:tc>
        <w:tc>
          <w:tcPr>
            <w:tcW w:w="2835" w:type="dxa"/>
          </w:tcPr>
          <w:p w14:paraId="792F4DC4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8.3.1. Vérifier la qualité de l’eau une fois par an (analyses physico-chimiques et bactériologiques des forages, réservoirs de stockage et robinets de soins par un laboratoire agréé)</w:t>
            </w:r>
          </w:p>
        </w:tc>
        <w:tc>
          <w:tcPr>
            <w:tcW w:w="1539" w:type="dxa"/>
          </w:tcPr>
          <w:p w14:paraId="26C75662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EOPCI / DST / Laboratoire d'Hygiène de l'Eau</w:t>
            </w:r>
          </w:p>
        </w:tc>
        <w:tc>
          <w:tcPr>
            <w:tcW w:w="1629" w:type="dxa"/>
          </w:tcPr>
          <w:p w14:paraId="4849C2F2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Mars 2027</w:t>
            </w:r>
          </w:p>
        </w:tc>
        <w:tc>
          <w:tcPr>
            <w:tcW w:w="1935" w:type="dxa"/>
          </w:tcPr>
          <w:p w14:paraId="50C8937B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Absence de contrôle bactériologique annuel certifié</w:t>
            </w:r>
          </w:p>
        </w:tc>
        <w:tc>
          <w:tcPr>
            <w:tcW w:w="2410" w:type="dxa"/>
          </w:tcPr>
          <w:p w14:paraId="39CEC028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Rapport officiel attestant la potabilité de l'eau distribuée délivré et mesures correctives prises</w:t>
            </w:r>
          </w:p>
        </w:tc>
        <w:tc>
          <w:tcPr>
            <w:tcW w:w="1483" w:type="dxa"/>
          </w:tcPr>
          <w:p w14:paraId="4BAE9CA4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4451688F" w14:textId="77777777" w:rsidTr="003E7C98">
        <w:tc>
          <w:tcPr>
            <w:tcW w:w="1526" w:type="dxa"/>
            <w:vMerge/>
          </w:tcPr>
          <w:p w14:paraId="3FF6E63B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7DEB4903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465CE14A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8.3.2. Vérifier la qualité et la concentration des matériels et produits de désinfection (titrage régulier du chlore actif de l'eau de javel et conformité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des solutions hydro-alcooliques)</w:t>
            </w:r>
          </w:p>
        </w:tc>
        <w:tc>
          <w:tcPr>
            <w:tcW w:w="1539" w:type="dxa"/>
          </w:tcPr>
          <w:p w14:paraId="743BAE9E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Pharmacie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hospitalière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Laboratoire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/ EOPCI</w:t>
            </w:r>
          </w:p>
        </w:tc>
        <w:tc>
          <w:tcPr>
            <w:tcW w:w="1629" w:type="dxa"/>
          </w:tcPr>
          <w:p w14:paraId="30A6E254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Trimestriel (Nov. 2026, Fév., Mai, Août 2027)</w:t>
            </w:r>
          </w:p>
        </w:tc>
        <w:tc>
          <w:tcPr>
            <w:tcW w:w="1935" w:type="dxa"/>
          </w:tcPr>
          <w:p w14:paraId="0D457EF8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Dilutions artisanales non titrées au chloromètre</w:t>
            </w:r>
          </w:p>
        </w:tc>
        <w:tc>
          <w:tcPr>
            <w:tcW w:w="2410" w:type="dxa"/>
          </w:tcPr>
          <w:p w14:paraId="3E24AA63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4 rapports trimestriels de contrôle de qualité et de titrage du chlore actif validés</w:t>
            </w:r>
          </w:p>
        </w:tc>
        <w:tc>
          <w:tcPr>
            <w:tcW w:w="1483" w:type="dxa"/>
          </w:tcPr>
          <w:p w14:paraId="1FA97DF2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259A119A" w14:textId="77777777" w:rsidTr="003E7C98">
        <w:tc>
          <w:tcPr>
            <w:tcW w:w="1526" w:type="dxa"/>
            <w:vMerge/>
          </w:tcPr>
          <w:p w14:paraId="0224FFE8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607A2578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48FC63A8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8.3.3. Acquérir et installer 20 dispositifs ergonomiques de lavage des mains avec robinetterie non manuelle (commande au coude ou à pédale) dans les zones critiques dépourvues de points d'eau</w:t>
            </w:r>
          </w:p>
        </w:tc>
        <w:tc>
          <w:tcPr>
            <w:tcW w:w="1539" w:type="dxa"/>
          </w:tcPr>
          <w:p w14:paraId="15880691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DST / DAF / EOPCI</w:t>
            </w:r>
          </w:p>
        </w:tc>
        <w:tc>
          <w:tcPr>
            <w:tcW w:w="1629" w:type="dxa"/>
          </w:tcPr>
          <w:p w14:paraId="1E7096AF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Décembre 2026 - Mars 2027</w:t>
            </w:r>
          </w:p>
        </w:tc>
        <w:tc>
          <w:tcPr>
            <w:tcW w:w="1935" w:type="dxa"/>
          </w:tcPr>
          <w:p w14:paraId="60517F47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Points d'eau insuffisants ou robinets manuels sources de recontamination</w:t>
            </w:r>
          </w:p>
        </w:tc>
        <w:tc>
          <w:tcPr>
            <w:tcW w:w="2410" w:type="dxa"/>
          </w:tcPr>
          <w:p w14:paraId="318CC07A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20 nouveaux postes ergonomiques de lavage des mains installés et raccordés au réseau</w:t>
            </w:r>
          </w:p>
        </w:tc>
        <w:tc>
          <w:tcPr>
            <w:tcW w:w="1483" w:type="dxa"/>
          </w:tcPr>
          <w:p w14:paraId="7FC0E18E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7C0026" w14:paraId="67E3FC33" w14:textId="77777777" w:rsidTr="003E7C98">
        <w:tc>
          <w:tcPr>
            <w:tcW w:w="1526" w:type="dxa"/>
            <w:vMerge/>
          </w:tcPr>
          <w:p w14:paraId="22A21518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</w:tcPr>
          <w:p w14:paraId="3F0FEC85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</w:tcPr>
          <w:p w14:paraId="60F18A00" w14:textId="78DA73E5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8.3.4. </w:t>
            </w:r>
            <w:proofErr w:type="gramStart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Superviser  la</w:t>
            </w:r>
            <w:proofErr w:type="gramEnd"/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dotation annuelle en consommables d'hygiène et fournitures ordinaires indispensables au fonctionnement du CLIN/PCI :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Savon liquide pour le lavage des mains (250 Litres)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Essuie-mains jetables à usage unique (250 rouleaux)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br/>
              <w:t>- Fournitures de bureau annuelles (12 cartons papier RAM, 12 recharges encre imprimante A80, stylos, chemises dossiers, agrafes, registres)</w:t>
            </w:r>
          </w:p>
        </w:tc>
        <w:tc>
          <w:tcPr>
            <w:tcW w:w="1539" w:type="dxa"/>
          </w:tcPr>
          <w:p w14:paraId="2D47FA1E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Économat / DAF / Point focal PCI</w:t>
            </w:r>
          </w:p>
        </w:tc>
        <w:tc>
          <w:tcPr>
            <w:tcW w:w="1629" w:type="dxa"/>
          </w:tcPr>
          <w:p w14:paraId="3D531BC1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>Trimestriel</w:t>
            </w:r>
            <w:proofErr w:type="spellEnd"/>
            <w:r w:rsidRPr="007C0026">
              <w:rPr>
                <w:rFonts w:ascii="Times New Roman" w:hAnsi="Times New Roman" w:cs="Times New Roman"/>
                <w:sz w:val="24"/>
                <w:szCs w:val="24"/>
              </w:rPr>
              <w:t xml:space="preserve"> (Continu)</w:t>
            </w:r>
          </w:p>
        </w:tc>
        <w:tc>
          <w:tcPr>
            <w:tcW w:w="1935" w:type="dxa"/>
          </w:tcPr>
          <w:p w14:paraId="385C8033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Ruptures épisodiques de savon liquide et essuie-mains</w:t>
            </w:r>
          </w:p>
        </w:tc>
        <w:tc>
          <w:tcPr>
            <w:tcW w:w="2410" w:type="dxa"/>
          </w:tcPr>
          <w:p w14:paraId="4FAEEA23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Zéro rupture de stock en savon liquide et essuie-mains constatée dans les blocs et unités critiques</w:t>
            </w:r>
          </w:p>
        </w:tc>
        <w:tc>
          <w:tcPr>
            <w:tcW w:w="1483" w:type="dxa"/>
          </w:tcPr>
          <w:p w14:paraId="045910BE" w14:textId="77777777" w:rsidR="002F42E7" w:rsidRPr="007C0026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0026">
              <w:rPr>
                <w:rFonts w:ascii="Times New Roman" w:hAnsi="Times New Roman" w:cs="Times New Roman"/>
                <w:b/>
                <w:sz w:val="24"/>
                <w:szCs w:val="24"/>
              </w:rPr>
              <w:t>FP</w:t>
            </w:r>
          </w:p>
        </w:tc>
      </w:tr>
      <w:tr w:rsidR="003E7C98" w:rsidRPr="002F42E7" w14:paraId="6402807D" w14:textId="77777777" w:rsidTr="003E7C98">
        <w:tc>
          <w:tcPr>
            <w:tcW w:w="1526" w:type="dxa"/>
          </w:tcPr>
          <w:p w14:paraId="22B30CFC" w14:textId="77777777" w:rsidR="002F42E7" w:rsidRPr="007C0026" w:rsidRDefault="002F42E7" w:rsidP="002F42E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14:paraId="4A05E4B5" w14:textId="5B9ABFAA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Mettre en place des outils de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communication de la P¨CI</w:t>
            </w:r>
          </w:p>
        </w:tc>
        <w:tc>
          <w:tcPr>
            <w:tcW w:w="2835" w:type="dxa"/>
          </w:tcPr>
          <w:p w14:paraId="5F23C054" w14:textId="403DD9B5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 xml:space="preserve">ELABORATION DES OUTILS DE COMMUNICATION </w:t>
            </w: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lastRenderedPageBreak/>
              <w:t>SUR L’hygiène hospitalier et la PCI (Affiches, affichettes, dépliants)</w:t>
            </w:r>
          </w:p>
        </w:tc>
        <w:tc>
          <w:tcPr>
            <w:tcW w:w="1539" w:type="dxa"/>
          </w:tcPr>
          <w:p w14:paraId="799648C7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629" w:type="dxa"/>
          </w:tcPr>
          <w:p w14:paraId="1572FA93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935" w:type="dxa"/>
          </w:tcPr>
          <w:p w14:paraId="77038BAD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2410" w:type="dxa"/>
          </w:tcPr>
          <w:p w14:paraId="5E12677A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483" w:type="dxa"/>
          </w:tcPr>
          <w:p w14:paraId="0318A870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</w:pPr>
          </w:p>
        </w:tc>
      </w:tr>
      <w:tr w:rsidR="003E7C98" w:rsidRPr="002F42E7" w14:paraId="240F9FBF" w14:textId="77777777" w:rsidTr="003E7C98">
        <w:tc>
          <w:tcPr>
            <w:tcW w:w="1526" w:type="dxa"/>
          </w:tcPr>
          <w:p w14:paraId="7F1E241C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843" w:type="dxa"/>
          </w:tcPr>
          <w:p w14:paraId="425C4613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2835" w:type="dxa"/>
          </w:tcPr>
          <w:p w14:paraId="68F92323" w14:textId="7A91867E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Multiplication des outils de communication </w:t>
            </w:r>
          </w:p>
        </w:tc>
        <w:tc>
          <w:tcPr>
            <w:tcW w:w="1539" w:type="dxa"/>
          </w:tcPr>
          <w:p w14:paraId="38C5E68F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629" w:type="dxa"/>
          </w:tcPr>
          <w:p w14:paraId="1B2AC48F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935" w:type="dxa"/>
          </w:tcPr>
          <w:p w14:paraId="52C355CC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2410" w:type="dxa"/>
          </w:tcPr>
          <w:p w14:paraId="2ABF67A0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483" w:type="dxa"/>
          </w:tcPr>
          <w:p w14:paraId="0BF729EA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</w:pPr>
          </w:p>
        </w:tc>
      </w:tr>
      <w:tr w:rsidR="003E7C98" w:rsidRPr="002F42E7" w14:paraId="6A0D4699" w14:textId="77777777" w:rsidTr="003E7C98">
        <w:tc>
          <w:tcPr>
            <w:tcW w:w="1526" w:type="dxa"/>
          </w:tcPr>
          <w:p w14:paraId="4EBBC0CE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843" w:type="dxa"/>
          </w:tcPr>
          <w:p w14:paraId="13E0826B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2835" w:type="dxa"/>
          </w:tcPr>
          <w:p w14:paraId="26F805B6" w14:textId="0700E4EC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  <w:r w:rsidRPr="002F42E7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Diffuser les outils de communication </w:t>
            </w:r>
          </w:p>
        </w:tc>
        <w:tc>
          <w:tcPr>
            <w:tcW w:w="1539" w:type="dxa"/>
          </w:tcPr>
          <w:p w14:paraId="13FFCB7F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629" w:type="dxa"/>
          </w:tcPr>
          <w:p w14:paraId="572E7956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935" w:type="dxa"/>
          </w:tcPr>
          <w:p w14:paraId="2CF1CCE8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2410" w:type="dxa"/>
          </w:tcPr>
          <w:p w14:paraId="534EB300" w14:textId="77777777" w:rsidR="002F42E7" w:rsidRPr="002F42E7" w:rsidRDefault="002F42E7" w:rsidP="002F42E7">
            <w:pPr>
              <w:rPr>
                <w:rFonts w:ascii="Times New Roman" w:hAnsi="Times New Roman" w:cs="Times New Roman"/>
                <w:sz w:val="24"/>
                <w:szCs w:val="24"/>
                <w:lang w:val="fr-FR"/>
              </w:rPr>
            </w:pPr>
          </w:p>
        </w:tc>
        <w:tc>
          <w:tcPr>
            <w:tcW w:w="1483" w:type="dxa"/>
          </w:tcPr>
          <w:p w14:paraId="0D35F539" w14:textId="77777777" w:rsidR="002F42E7" w:rsidRPr="002F42E7" w:rsidRDefault="002F42E7" w:rsidP="002F42E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fr-FR"/>
              </w:rPr>
            </w:pPr>
          </w:p>
        </w:tc>
      </w:tr>
    </w:tbl>
    <w:p w14:paraId="304F0CB1" w14:textId="57CBB60C" w:rsidR="00E21260" w:rsidRPr="002F42E7" w:rsidRDefault="00E21260">
      <w:pPr>
        <w:rPr>
          <w:rFonts w:ascii="Times New Roman" w:hAnsi="Times New Roman" w:cs="Times New Roman"/>
          <w:lang w:val="fr-FR"/>
        </w:rPr>
      </w:pPr>
    </w:p>
    <w:sectPr w:rsidR="00E21260" w:rsidRPr="002F42E7" w:rsidSect="00034616">
      <w:pgSz w:w="16834" w:h="11909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6063732"/>
    <w:multiLevelType w:val="multilevel"/>
    <w:tmpl w:val="714E4EC2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985771502">
    <w:abstractNumId w:val="8"/>
  </w:num>
  <w:num w:numId="2" w16cid:durableId="1423064819">
    <w:abstractNumId w:val="6"/>
  </w:num>
  <w:num w:numId="3" w16cid:durableId="2135902477">
    <w:abstractNumId w:val="5"/>
  </w:num>
  <w:num w:numId="4" w16cid:durableId="1565529214">
    <w:abstractNumId w:val="4"/>
  </w:num>
  <w:num w:numId="5" w16cid:durableId="1712223918">
    <w:abstractNumId w:val="7"/>
  </w:num>
  <w:num w:numId="6" w16cid:durableId="2029523375">
    <w:abstractNumId w:val="3"/>
  </w:num>
  <w:num w:numId="7" w16cid:durableId="1319650375">
    <w:abstractNumId w:val="2"/>
  </w:num>
  <w:num w:numId="8" w16cid:durableId="145439965">
    <w:abstractNumId w:val="1"/>
  </w:num>
  <w:num w:numId="9" w16cid:durableId="76292603">
    <w:abstractNumId w:val="0"/>
  </w:num>
  <w:num w:numId="10" w16cid:durableId="16354060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55AB"/>
    <w:rsid w:val="0006063C"/>
    <w:rsid w:val="00071B56"/>
    <w:rsid w:val="00094994"/>
    <w:rsid w:val="000E37AC"/>
    <w:rsid w:val="00101469"/>
    <w:rsid w:val="0015074B"/>
    <w:rsid w:val="001F7A28"/>
    <w:rsid w:val="00205244"/>
    <w:rsid w:val="0029639D"/>
    <w:rsid w:val="002B635E"/>
    <w:rsid w:val="002D4A1D"/>
    <w:rsid w:val="002E59C3"/>
    <w:rsid w:val="002F42E7"/>
    <w:rsid w:val="00326F90"/>
    <w:rsid w:val="003564F9"/>
    <w:rsid w:val="003E7C98"/>
    <w:rsid w:val="00457D27"/>
    <w:rsid w:val="00553A71"/>
    <w:rsid w:val="00587141"/>
    <w:rsid w:val="005B7DE7"/>
    <w:rsid w:val="0062063B"/>
    <w:rsid w:val="00630330"/>
    <w:rsid w:val="006D67DB"/>
    <w:rsid w:val="007C0026"/>
    <w:rsid w:val="00811E2F"/>
    <w:rsid w:val="008E1472"/>
    <w:rsid w:val="009A7114"/>
    <w:rsid w:val="009F230B"/>
    <w:rsid w:val="00A72559"/>
    <w:rsid w:val="00AA1D8D"/>
    <w:rsid w:val="00B47730"/>
    <w:rsid w:val="00C74615"/>
    <w:rsid w:val="00CB0664"/>
    <w:rsid w:val="00E1036B"/>
    <w:rsid w:val="00E21260"/>
    <w:rsid w:val="00E46F00"/>
    <w:rsid w:val="00F470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17FBA3"/>
  <w14:defaultImageDpi w14:val="300"/>
  <w15:docId w15:val="{784DA09E-22E0-4620-B519-E830D46E0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2999</Words>
  <Characters>16499</Characters>
  <Application>Microsoft Office Word</Application>
  <DocSecurity>0</DocSecurity>
  <Lines>137</Lines>
  <Paragraphs>38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INVITE</cp:lastModifiedBy>
  <cp:revision>2</cp:revision>
  <dcterms:created xsi:type="dcterms:W3CDTF">2026-09-30T03:42:00Z</dcterms:created>
  <dcterms:modified xsi:type="dcterms:W3CDTF">2026-09-30T03:42:00Z</dcterms:modified>
  <cp:category/>
</cp:coreProperties>
</file>