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20"/>
        </w:rPr>
        <w:t>RÉPUBLIQUE DU BÉNIN</w:t>
        <w:br/>
        <w:t>MINISTÈRE DE LA SANTÉ</w:t>
        <w:br/>
      </w:r>
      <w:r>
        <w:rPr>
          <w:b/>
          <w:color w:val="1B365D"/>
          <w:sz w:val="22"/>
        </w:rPr>
        <w:t>CENTRE HOSPITALIER UNIVERSITAIRE DE LA MÈRE ET DE L'ENFANT LAGUNE (CHU-MEL)</w:t>
        <w:br/>
      </w:r>
      <w:r>
        <w:rPr>
          <w:i/>
          <w:color w:val="505050"/>
          <w:sz w:val="19"/>
        </w:rPr>
        <w:t>COMITÉ DE LUTTE CONTRE LES INFECTIONS NOSOCOMIALES (CLIN)</w:t>
        <w:br/>
        <w:t>PLAN BUDGÉTISÉ ANNUEL DE PRÉVENTION ET CONTRÔLE DES INFECTIONS</w:t>
      </w:r>
    </w:p>
    <w:p>
      <w:pPr>
        <w:spacing w:before="160" w:after="240"/>
        <w:jc w:val="center"/>
      </w:pPr>
      <w:r>
        <w:rPr>
          <w:b/>
          <w:color w:val="1B365D"/>
          <w:sz w:val="26"/>
        </w:rPr>
        <w:t>PROPOSITION DE PLAN BUDGÉTISÉ CLIN PCI CHUMEL 2026-2027 (RÉAJUSTÉ)</w:t>
        <w:br/>
        <w:t>ESTIMATION PRÉVISIONNELLE DÉTAILLÉE PAR OBJECTIF STRATÉGIQUE ET PAR CATÉGORIE DE COÛTS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5035"/>
        <w:gridCol w:w="5035"/>
        <w:gridCol w:w="5035"/>
      </w:tblGrid>
      <w:tr>
        <w:tc>
          <w:tcPr>
            <w:tcW w:type="dxa" w:w="4896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1B365D"/>
                <w:sz w:val="17"/>
              </w:rPr>
              <w:t xml:space="preserve">Période budgétaire : </w:t>
            </w:r>
            <w:r>
              <w:rPr>
                <w:sz w:val="17"/>
              </w:rPr>
              <w:t>Exercice 2026-2027</w:t>
            </w:r>
          </w:p>
        </w:tc>
        <w:tc>
          <w:tcPr>
            <w:tcW w:type="dxa" w:w="504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1B365D"/>
                <w:sz w:val="17"/>
              </w:rPr>
              <w:t xml:space="preserve">Budget Exploitation (Fonds Propres) : </w:t>
            </w:r>
            <w:r>
              <w:rPr>
                <w:b/>
                <w:sz w:val="17"/>
              </w:rPr>
              <w:t>14 850 618 XOF</w:t>
            </w:r>
          </w:p>
        </w:tc>
        <w:tc>
          <w:tcPr>
            <w:tcW w:type="dxa" w:w="504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1B365D"/>
                <w:sz w:val="17"/>
              </w:rPr>
              <w:t xml:space="preserve">Budget Investissement (PTF / État) : </w:t>
            </w:r>
            <w:r>
              <w:rPr>
                <w:sz w:val="17"/>
              </w:rPr>
              <w:t>25 000 000 XOF</w:t>
            </w:r>
          </w:p>
        </w:tc>
      </w:tr>
      <w:tr>
        <w:tc>
          <w:tcPr>
            <w:tcW w:type="dxa" w:w="4896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1B365D"/>
                <w:sz w:val="17"/>
              </w:rPr>
              <w:t xml:space="preserve">Établissement : </w:t>
            </w:r>
            <w:r>
              <w:rPr>
                <w:sz w:val="17"/>
              </w:rPr>
              <w:t>CHU-MEL Cotonou</w:t>
            </w:r>
          </w:p>
        </w:tc>
        <w:tc>
          <w:tcPr>
            <w:tcW w:type="dxa" w:w="504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1B365D"/>
                <w:sz w:val="17"/>
              </w:rPr>
              <w:t xml:space="preserve">Devise de référence : </w:t>
            </w:r>
            <w:r>
              <w:rPr>
                <w:sz w:val="17"/>
              </w:rPr>
              <w:t>Franc CFA (XOF)</w:t>
            </w:r>
          </w:p>
        </w:tc>
        <w:tc>
          <w:tcPr>
            <w:tcW w:type="dxa" w:w="504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1B365D"/>
                <w:sz w:val="17"/>
              </w:rPr>
              <w:t xml:space="preserve">Budget Consolidé Total : </w:t>
            </w:r>
            <w:r>
              <w:rPr>
                <w:b/>
                <w:sz w:val="17"/>
              </w:rPr>
              <w:t>39 850 618 XOF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color w:val="1B365D"/>
          <w:sz w:val="22"/>
        </w:rPr>
        <w:t>1. Note Explicative et Cadrage Budgétaire Réajusté</w:t>
        <w:br/>
      </w:r>
      <w:r>
        <w:rPr>
          <w:sz w:val="17"/>
        </w:rPr>
        <w:t>Le présent plan budgétisé a été entièrement réajusté pour traduire financièrement les nouvelles activités et orientations du PTA révisé de l'EOPCI et du CLIN. Il intègre notamment :</w:t>
        <w:br/>
        <w:t>• L'accompagnement technique par une expertise externe spécialisée (200 000 XOF) et l'animation des 24 points focaux médico-techniques (60 000 XOF).</w:t>
        <w:br/>
        <w:t>• L'organisation d'ateliers pratiques de démonstration sur les techniques de lavage et friction des mains pour l'ensemble des agents hospitaliers et connexes (150 000 XOF).</w:t>
        <w:br/>
        <w:t>• La valorisation des travaux et la présentation de communications scientifiques et posters au congrès de la Société Béninoise d'Hygiène Hospitalière EOPCI (150 000 XOF).</w:t>
        <w:br/>
        <w:t>• La mise en place du recueil hebdomadaire d'IAS par les points focaux de service (60 000 XOF) articulé aux 33 séries microbiologiques au laboratoire (3 198 118 XOF).</w:t>
        <w:br/>
        <w:t>• Le suivi mensuel formalisé de la qualité de la gestion des DBM (30 000 XOF) et le contrôle de disponibilité des équipements de lavage, linge et stérilisation (30 000 XOF).</w:t>
        <w:br/>
        <w:t>• La dotation complète de l'axe communication : conception infographique (200 000 XOF), tirage et plastification de 500 affiches et dépliants (600 000 XOF), et pose sur site (100 000 XOF).</w:t>
        <w:br/>
        <w:br/>
        <w:t>Le budget réajusté s'établit à 14 850 618 XOF sur Fonds Propres (Exploitation et équipements de proximité) et 25 000 000 XOF en investissement lourd d'infrastructure (Incinérateur pyrolytique moderne sur financement État / PTF), soit un montant total consolidé de 39 850 618 XOF.</w:t>
      </w:r>
    </w:p>
    <w:p>
      <w:pPr>
        <w:spacing w:before="120" w:after="80"/>
      </w:pPr>
      <w:r>
        <w:rPr>
          <w:b/>
          <w:color w:val="1B365D"/>
          <w:sz w:val="22"/>
        </w:rPr>
        <w:t>2. Tableau Budgétaire Détaillé Réajusté (Modèle PAO)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B0C4DE"/>
          <w:insideV w:val="single" w:sz="4" w:space="0" w:color="B0C4DE"/>
        </w:tblBorders>
      </w:tblPr>
      <w:tblGrid>
        <w:gridCol w:w="1888"/>
        <w:gridCol w:w="1888"/>
        <w:gridCol w:w="1888"/>
        <w:gridCol w:w="1888"/>
        <w:gridCol w:w="1888"/>
        <w:gridCol w:w="1888"/>
        <w:gridCol w:w="1888"/>
        <w:gridCol w:w="1888"/>
      </w:tblGrid>
      <w:tr>
        <w:trPr>
          <w:tblHeader/>
        </w:trPr>
        <w:tc>
          <w:tcPr>
            <w:tcW w:type="dxa" w:w="360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Activités / Sous activités</w:t>
            </w:r>
          </w:p>
        </w:tc>
        <w:tc>
          <w:tcPr>
            <w:tcW w:type="dxa" w:w="2304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Catégorie des coûts</w:t>
            </w:r>
          </w:p>
        </w:tc>
        <w:tc>
          <w:tcPr>
            <w:tcW w:type="dxa" w:w="64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Qté</w:t>
            </w:r>
          </w:p>
        </w:tc>
        <w:tc>
          <w:tcPr>
            <w:tcW w:type="dxa" w:w="64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Fréq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Coût unitaire (XOF)</w:t>
            </w:r>
          </w:p>
        </w:tc>
        <w:tc>
          <w:tcPr>
            <w:tcW w:type="dxa" w:w="187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Coût total (XOF)</w:t>
            </w:r>
          </w:p>
        </w:tc>
        <w:tc>
          <w:tcPr>
            <w:tcW w:type="dxa" w:w="187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Source de financement</w:t>
            </w:r>
          </w:p>
        </w:tc>
        <w:tc>
          <w:tcPr>
            <w:tcW w:type="dxa" w:w="2304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Commentaire / Justification</w:t>
            </w:r>
          </w:p>
        </w:tc>
      </w:tr>
      <w:tr>
        <w:trPr>
          <w:cantSplit/>
        </w:trPr>
        <w:tc>
          <w:tcPr>
            <w:tcW w:type="dxa" w:w="2304"/>
            <w:gridSpan w:val="8"/>
            <w:shd w:fill="D9E1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7"/>
              </w:rPr>
              <w:t>OS I : PROGRAMME ET GOUVERNANCE DE LA PCI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1.1.1. Rédiger le cahier de charges de l'EOPCI (fournitures &amp; dossiers)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Élaboration, impression et reprographie des cahiers de charges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1.1.1 bis. Séance technique de validation du cahier des charges EOPCI (8 pers)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Pause café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2,500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Séance technique de finalisation du cahier des charges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1.1.2. Rédiger la note de nomination du Point Focal PCI et fiches de tâches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Néant (acte administratif)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Néant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Note de service officielle de la DG et fiches notifiées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1.1.3. Renouveler et formaliser le CLIN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Néant (acte administratif)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Néant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Décision institutionnelle portant renouvellement du CLIN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1.1.4. Renouveler et restructurer l'équipe opérationnelle PCI (EOPCI)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Néant (acte administratif)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Néant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Note de service portant composition de l'EOPCI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1.1.5. Nommer formellement l'équipe des formateurs internes en PCI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Néant (acte administratif)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Néant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Note de service désignant 8 formateurs internes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1.1.6. Nommer les 24 points focaux IAS-PCI dans les services médico-techniques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Pause-café &amp; kits de mission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2,500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60,000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Séance d'installation officielle et kits de mission des 24 points focaux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1.1.7. Solliciter une expertise externe pour accompagner la PCI (appui technique)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Honoraires &amp; appui technique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 / PTF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Mission d'appui technique d'un expert externe en PCI (5 jours)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1.2.1. Réunions hebdomadaires de coordination de l'EOPCI (52 semaines)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 &amp; secrétariat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30,000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Registres d'actes, papeterie et archivage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1.2.2. Sessions trimestrielles du CLIN (collation 15 membres x 4 sessions)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Pause café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2,500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Collation pour 4 sessions trimestrielles du CLIN (15 pers)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1.2.2 bis. Sessions trimestrielles du CLIN (dossiers et fournitures)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Dossiers de travail reliés pour les 4 sessions du CLIN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1.2.3. Suivi rapproché de la mise en œuvre des décisions du CLIN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Néant (suivi régulier)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Néant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Tableau de bord de suivi renseigné par l'EOPCI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1.3.1. Élaborer le Plan de Travail Annuel (PTA) et le budget PCI 2026-2027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Consommables de conception et tirage préparatoire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1.3.2. Atelier de validation institutionnelle du PTA/Budget (dossiers)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Dossiers de travail des participants à l'atelier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1.3.2 bis. Atelier de validation institutionnelle du PTA/Budget (collation 20 pers)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Pause café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2,500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Collation pour les 20 participants à l'atelier de validation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1.3.3. Approuver officiellement le plan élaboré selon les normes OMS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Néant (validation)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Néant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Signature et visa hiérarchique de la Direction Générale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1.3.4. Disséminer et vulgariser le PTA PCI dans l'ensemble des services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 &amp; reprographie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25,000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Reprographie, reliure et diffusion du PTA validé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1.3.5. Intégrer le PTA et budget PCI au PITA 2027 du CHUMEL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Néant (arbitrage)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Néant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Inscription budgétaire par la DAF dans le budget général</w:t>
            </w:r>
          </w:p>
        </w:tc>
      </w:tr>
      <w:tr>
        <w:trPr>
          <w:cantSplit/>
        </w:trPr>
        <w:tc>
          <w:tcPr>
            <w:tcW w:type="dxa" w:w="3600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6"/>
              </w:rPr>
              <w:t>Sous-total OS I</w:t>
            </w:r>
          </w:p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72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B365D"/>
                <w:sz w:val="16"/>
              </w:rPr>
              <w:t>615,000</w:t>
            </w:r>
          </w:p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2304"/>
            <w:gridSpan w:val="8"/>
            <w:shd w:fill="D9E1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7"/>
              </w:rPr>
              <w:t>OS II : LIGNES DIRECTIVES ET PROCÉDURES OPÉRATIONNELLES (POS)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2.1.1. Relecture et adaptation contextuelle des directives OMS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Consommables pour le groupe de travail documentaire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2.1.2. Élaboration et harmonisation des POS prioritaires (comité 8 personnes)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Ressources financières / Atelier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300,000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1 ligne 7 (300 000 FCFA pour 8 personnes)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2.1.3. Séance de validation technique des POS par le CLIN et la direction (dossiers)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15,000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Tirage des projets de POS soumis à validation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2.1.3 bis. Séance de validation technique des POS par le CLIN (collation 15 pers)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Pause café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2,500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37,500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Collation pour les 15 membres de la session CLIN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2.1.4. Mettre à disposition, reproduire et plastifier les 20 classeurs de POS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Impression &amp; plastification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7,500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20 classeurs complets de fiches de POS plastifiées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2.1.5. Séances de briefing du personnel sur l'appropriation des POS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didactiques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Guides réflexes de poche et fiches d'émargement</w:t>
            </w:r>
          </w:p>
        </w:tc>
      </w:tr>
      <w:tr>
        <w:trPr>
          <w:cantSplit/>
        </w:trPr>
        <w:tc>
          <w:tcPr>
            <w:tcW w:type="dxa" w:w="3600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6"/>
              </w:rPr>
              <w:t>Sous-total OS II</w:t>
            </w:r>
          </w:p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72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B365D"/>
                <w:sz w:val="16"/>
              </w:rPr>
              <w:t>572,500</w:t>
            </w:r>
          </w:p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2304"/>
            <w:gridSpan w:val="8"/>
            <w:shd w:fill="D9E1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7"/>
              </w:rPr>
              <w:t>OS III : FORMATION, ÉDUCATION EN PCI ET CONGRÈS SCIENTIFIQUES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3.1.1. Élaborer le planning annuel de formation du personnel en PCI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Planification annuelle et fiches pédagogiques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3.1.2. Planning de formation continue de l'équipe PCI et formateurs internes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Documentation technique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25,000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Guides avancés et modules de perfectionnement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3.1.3. Former le personnel soignant aux Précautions Standard &amp; Complémentaires (500 pers)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Ressources financières / Formation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500,000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1 ligne 3 (500 000 FCFA pour 500 agents)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3.1.4. Sessions sur les techniques de lavage des mains pour soignants et connexes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Ateliers pratiques &amp; consommables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Démonstrations pratiques, flacons de PHA, réactifs UV et ateliers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3.2.1. Former agents d'entretien et aides-soignants au bionettoyage et DBM (300 pers)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Ressources financières / Formation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300,000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1 ligne 4 (300 000 FCFA pour 300 agents)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3.3.1. Séances d'éducation sur l'hygiène de base pour patients et accompagnants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Supports de sensibilisation usagers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Boîtes à images, affiches pédagogiques et dépliants usagers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3.4.1. Participation aux congrès scientifiques de PCI (SB2HPCI / HBEEPTI - 15 pers)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Inscriptions &amp; frais de mission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600,000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1 ligne 6 (600 000 FCFA pour 15 participants)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3.4.2. Présentation de communications scientifiques et posters au congrès SB2HPCI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Communications scientifiques &amp; posters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Impression grand format de posters scientifiques et frais d'enregistrement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3.4.3. Organisation de la Journée internationale de l'hygiène des mains (5 mai)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Événementiel &amp; communication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1,000,000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1,000,000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 / PTF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1 ligne 2 (1 000 000 FCFA / 500 participants)</w:t>
            </w:r>
          </w:p>
        </w:tc>
      </w:tr>
      <w:tr>
        <w:trPr>
          <w:cantSplit/>
        </w:trPr>
        <w:tc>
          <w:tcPr>
            <w:tcW w:type="dxa" w:w="3600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6"/>
              </w:rPr>
              <w:t>Sous-total OS III</w:t>
            </w:r>
          </w:p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72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B365D"/>
                <w:sz w:val="16"/>
              </w:rPr>
              <w:t>2,885,000</w:t>
            </w:r>
          </w:p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2304"/>
            <w:gridSpan w:val="8"/>
            <w:shd w:fill="D9E1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7"/>
              </w:rPr>
              <w:t>OS V : SURVEILLANCE ÉPIDÉMIOLOGIQUE DES IAS ET MICROBIOLOGIE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5.1.1. Élaborer et valider le plan institutionnel de surveillance des IAS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 &amp; reprographie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Protocoles de surveillance et fiches de notification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5.1.2. Enquête épidémiologique approfondie sur les IAS dans les départements d'intérêt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Fiches d'enquête &amp; logistique terrain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Enquête de prévalence ciblée (réanimation, néonat, maternité, chirurgie)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5.1.3. Collecte hebdomadaire de données sur les IAS par les points focaux de service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Fiches de recueil &amp; registres de suivi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60,000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Cahiers de notification hebdomadaire dans tous les services de soins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5.1.4. Analyse hebdomadaire et présentation des résultats à la réunion EOPCI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Néant (travail régulier)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Néant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Tableau de bord hebdomadaire des alertes infectieuses élaboré par l'EOPCI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5.2.1. Intégration de la microbiologie environnementale au laboratoire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Néant (organisation interne)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Néant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Ouverture d'un volet hygiène hospitalière au laboratoire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5.2.2. Programme de recherche des germes nosocomiaux (33 processus / séries d'analyses)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Intrants &amp; réactifs de bactériologie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3,198,118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3,198,118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exacte PTA CLIN tableau 1 ligne 5 (3 198 118 FCFA / 33 processus)</w:t>
            </w:r>
          </w:p>
        </w:tc>
      </w:tr>
      <w:tr>
        <w:trPr>
          <w:cantSplit/>
        </w:trPr>
        <w:tc>
          <w:tcPr>
            <w:tcW w:type="dxa" w:w="3600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6"/>
              </w:rPr>
              <w:t>Sous-total OS V</w:t>
            </w:r>
          </w:p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72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B365D"/>
                <w:sz w:val="16"/>
              </w:rPr>
              <w:t>3,458,118</w:t>
            </w:r>
          </w:p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2304"/>
            <w:gridSpan w:val="8"/>
            <w:shd w:fill="D9E1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7"/>
              </w:rPr>
              <w:t>OS VII : SUIVI, AUDITS DES PRATIQUES ET RESTITUTION DES RÉSULTATS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7.1.1. Définition et formalisation des indicateurs clés de suivi PCI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Néant (ingénierie interne)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Néant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Fiches descriptives des 6 indicateurs prioritaires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7.1.2. Élaboration et reprographie des grilles standardisées d'audit clinique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Grilles d'audit de terrain pour les soins invasifs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7.1.3. Matériel informatique : Ordinateur portable dédié à la PCI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Matériel informatique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450,000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450,000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3 ligne 1 (PC portatif pour l'EOPCI)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7.1.3 bis. Matériel informatique : Imprimante multifonction pour l'EOPCI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Matériel informatique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3 ligne 2 (imprimante de bureau EOPCI)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7.1.3 ter. Matériel informatique : Disque SSD externe 1 To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Matériel informatique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3 ligne 8 (sauvegarde sécurisée données)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7.1.3 quater. Matériel informatique : Clé USB de stockage 32 Go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Matériel informatique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3 ligne 7 (transfert données terrain)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7.1.3 quinquies. Armoire de rangement fermée pour archives CLIN/PCI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Mobilier de bureau &amp; sécurité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3 ligne 5 (sécurisation archives)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7.1.3 sexies. Fournitures de bureau indispensables pour l'unité de suivi PCI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Papeterie, classeurs et consommables d'archivage EOPCI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7.2.1. Évaluation mensuelle de l'observance de l'hygiène des mains (500 obs/trim)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Logistique d'audit mensuel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500,000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1 ligne 1 (500 000 FCFA / 500 observations)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7.2.2. Dotation en registres d'hygiène des mains (« Registre 5 mains » : 12 unités)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 / Registres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2 ligne 1 (12 registres pour les services)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7.2.3. Audits internes trimestriels des pratiques PCI dans les pôles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&amp; logistique audit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80,000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Consommables pour 4 audits trimestriels dans les pôles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7.2.4. Suivi mensuel de la qualité de la gestion des déchets biomédicaux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Contrôle qualité &amp; fiches de suivi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30,000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Grilles d'évaluation qualité du tri et pesage des DBM (12 mois)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7.3.1. Réunions trimestrielles de restitution des audits et feedback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Pause-café &amp; reprographie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40,000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4 réunions de restitution auprès des chefs de pôles et majors</w:t>
            </w:r>
          </w:p>
        </w:tc>
      </w:tr>
      <w:tr>
        <w:trPr>
          <w:cantSplit/>
        </w:trPr>
        <w:tc>
          <w:tcPr>
            <w:tcW w:type="dxa" w:w="3600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6"/>
              </w:rPr>
              <w:t>Sous-total OS VII</w:t>
            </w:r>
          </w:p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72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B365D"/>
                <w:sz w:val="16"/>
              </w:rPr>
              <w:t>1,700,000</w:t>
            </w:r>
          </w:p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2304"/>
            <w:gridSpan w:val="8"/>
            <w:shd w:fill="D9E1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7"/>
              </w:rPr>
              <w:t>OS VIII : CHARGE DE TRAVAIL, DÉCHETS BIOMÉDICAUX ET ENVIRONNEMENT BÂTI (WASH)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8.1.1. Évaluation de la charge de travail, des ratios et de l'espacement des lits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d'enquête &amp; étude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Étude organisationnelle sur la promiscuité et les ratios soignants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8.1.2. Élaboration des fiches de description de tâches PCI par catégorie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Néant (DRH)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Néant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Intégration du volet PCI aux fiches de poste du personnel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8.2.1. Supervision mensuelle du tri, de la pesée et du stockage des DBM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Néant (supervision interne)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-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5"/>
              </w:rPr>
              <w:t>Néant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Contrôle mensuel régulier par l'EOPCI et le Service Salubrité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8.2.2. Sensibilisation continue du personnel sur la gestion et le tri des DBM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Formation continue &amp; sensibilisation DBM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500,000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1 ligne 10 (500 000 FCFA pour tri DBM)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8.2.3. Poubelles réglementaires pour gestion des DBM (50 poubelles à pédale)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Matériel de collecte DBM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1,000,000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3 ligne 4 (50 poubelles à pédale aux normes)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8.2.3 bis. Peson industriel pour le suivi du tonnage journalier des DBM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Matériel technique de pesage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3 ligne 3 (balance pèse-déchets industrielle)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8.2.3 ter. Supervision disponibilité équipements lavage, bionettoyage, linge et stérilisation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Grilles d'inventaire &amp; contrôle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30,000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Outils de traçabilité et grilles de contrôle trimestriel de conformité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8.2.4. Étude technique et dossier d'appel d'offres pour l'incinérateur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Études &amp; ingénierie technique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500,000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Audit technique et rédaction du cahier des charges de l'incinérateur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8.2.4 bis. Travaux d'installation d'un incinérateur hospitalier moderne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Investissement d'infrastructure hospitalière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25,000,000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25,000,000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Subvention État / PTF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Investissement d'infrastructure à mobiliser auprès de l'État / PTF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8.3.1. Analyses physico-chimiques et bactériologiques annuelles de l'eau (10 pts)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Analyses de laboratoire accrédité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300,000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Contrôle annuel de potabilité des réservoirs, forages et robinets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8.3.2. Contrôle trimestriel de qualité des désinfectants (titrage chlore et SHA)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Consommables de titrage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25,000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Titrage au chloromètre et contrôle densité SHA (4 trimestres)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8.3.3. Dispositifs ergonomiques de lavage des mains raccordés (20 unités)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Dispositifs d'hygiène &amp; plomberie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30,000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600,000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3 ligne 6 (20 dispositifs de lavage des mains)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8.3.4. Savon liquide pour les lavabos des services et blocs (250 Litres)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Consommables d'hygiène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250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2 ligne 5 (250 Litres de savon liquide)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8.3.4 bis. Essuie-mains jetables à usage unique pour lavabos (250 rouleaux)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Consommables d'hygiène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250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250,000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2 ligne 11 (250 rouleaux essuie-mains)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8.3.4 ter. Papier RAM pour impression rapports et grilles (12 cartons)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180,000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2 ligne 2 (12 cartons papier RAM)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8.3.4 quater. Recharges d'encre imprimante A80 pour l'EOPCI (12 flacons/recharges)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180,000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2 ligne 4 (12 flacons d'encre A80)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8.3.4 quinquies. Consommables administratifs ordinaires (cahiers, bics, chemises)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 ordinaires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130,000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130,000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tab. 2 lign. 3,6,7,8,9,10 (chemises, bics, agrafes, cahiers)</w:t>
            </w:r>
          </w:p>
        </w:tc>
      </w:tr>
      <w:tr>
        <w:trPr>
          <w:cantSplit/>
        </w:trPr>
        <w:tc>
          <w:tcPr>
            <w:tcW w:type="dxa" w:w="3600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6"/>
              </w:rPr>
              <w:t>Sous-total OS VIII</w:t>
            </w:r>
          </w:p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72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B365D"/>
                <w:sz w:val="16"/>
              </w:rPr>
              <w:t>29,220,000</w:t>
            </w:r>
          </w:p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2304"/>
            <w:gridSpan w:val="8"/>
            <w:shd w:fill="D9E1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7"/>
              </w:rPr>
              <w:t>OS VI : COMMUNICATION ET OUTILS DE SENSIBILISATION PCI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6.1.1. Élaboration des outils de communication sur l'hygiène et la PCI (affiches, dépliants)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Conception graphique &amp; maquettage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200,000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Infographie et validation des maquettes d'affiches et dépliants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6.1.2. Multiplication des outils de communication (500 affiches plastifiées)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Impression &amp; plastification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600,000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600,000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1 ligne 11 (600 000 FCFA pour supports)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6.1.3. Diffuser et installer les outils de communication aux points de soins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Pose &amp; installation supports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100,000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Installation des cadres et affichage pérenne dans les unités</w:t>
            </w:r>
          </w:p>
        </w:tc>
      </w:tr>
      <w:tr>
        <w:trPr>
          <w:cantSplit/>
        </w:trP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6.1.4. Campagnes institutionnelles de communication et sensibilisation de proximité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Campagnes de communication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4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500,000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sz w:val="15"/>
              </w:rPr>
              <w:t>500,000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Fonds propres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Réf. PTA CLIN tableau 1 ligne 9 (500 000 FCFA pour sensibilisation)</w:t>
            </w:r>
          </w:p>
        </w:tc>
      </w:tr>
      <w:tr>
        <w:trPr>
          <w:cantSplit/>
        </w:trPr>
        <w:tc>
          <w:tcPr>
            <w:tcW w:type="dxa" w:w="3600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6"/>
              </w:rPr>
              <w:t>Sous-total OS VI</w:t>
            </w:r>
          </w:p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728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B365D"/>
                <w:sz w:val="16"/>
              </w:rPr>
              <w:t>1,400,000</w:t>
            </w:r>
          </w:p>
        </w:tc>
        <w:tc>
          <w:tcPr>
            <w:tcW w:type="dxa" w:w="1872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2304"/>
            <w:shd w:fill="E2EFDA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728"/>
            <w:gridSpan w:val="5"/>
            <w:shd w:fill="1B365D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TOTAL GÉNÉRAL CONSOLIDÉ DU BUDGET CLIN PCI 2026-2027</w:t>
            </w:r>
          </w:p>
        </w:tc>
        <w:tc>
          <w:tcPr>
            <w:tcW w:type="dxa" w:w="1872"/>
            <w:shd w:fill="1B365D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39 850 618 XOF</w:t>
            </w:r>
          </w:p>
        </w:tc>
        <w:tc>
          <w:tcPr>
            <w:tcW w:type="dxa" w:w="1872"/>
            <w:shd w:fill="1B365D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FP &amp; PTF/État</w:t>
            </w:r>
          </w:p>
        </w:tc>
        <w:tc>
          <w:tcPr>
            <w:tcW w:type="dxa" w:w="2304"/>
            <w:shd w:fill="1B365D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r>
              <w:rPr>
                <w:color w:val="FFFFFF"/>
                <w:sz w:val="15"/>
              </w:rPr>
              <w:t>Consolidé réajusté</w:t>
            </w:r>
          </w:p>
        </w:tc>
      </w:tr>
    </w:tbl>
    <w:p>
      <w:r>
        <w:br w:type="page"/>
      </w:r>
    </w:p>
    <w:p>
      <w:r>
        <w:rPr>
          <w:b/>
          <w:color w:val="1B365D"/>
          <w:sz w:val="22"/>
        </w:rPr>
        <w:t>3. Synthèse Stratégique et Répartition du Budget Réajusté</w:t>
        <w:br/>
      </w:r>
    </w:p>
    <w:p>
      <w:pPr>
        <w:spacing w:before="80" w:after="40"/>
      </w:pPr>
      <w:r>
        <w:rPr>
          <w:b/>
          <w:sz w:val="19"/>
        </w:rPr>
        <w:t>Tableau 1 : Répartition prévisionnelle par Objectif Stratégique (OS)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B0C4DE"/>
          <w:insideV w:val="single" w:sz="4" w:space="0" w:color="B0C4DE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c>
          <w:tcPr>
            <w:tcW w:type="dxa" w:w="115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N°</w:t>
            </w:r>
          </w:p>
        </w:tc>
        <w:tc>
          <w:tcPr>
            <w:tcW w:type="dxa" w:w="547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Objectif Stratégique</w:t>
            </w:r>
          </w:p>
        </w:tc>
        <w:tc>
          <w:tcPr>
            <w:tcW w:type="dxa" w:w="230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Fonctionnement (XOF)</w:t>
            </w:r>
          </w:p>
        </w:tc>
        <w:tc>
          <w:tcPr>
            <w:tcW w:type="dxa" w:w="230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Investissement (XOF)</w:t>
            </w:r>
          </w:p>
        </w:tc>
        <w:tc>
          <w:tcPr>
            <w:tcW w:type="dxa" w:w="230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Prévu (XOF)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Budget</w:t>
            </w:r>
          </w:p>
        </w:tc>
      </w:tr>
      <w:tr>
        <w:trPr>
          <w:cantSplit/>
        </w:trPr>
        <w:tc>
          <w:tcPr>
            <w:tcW w:type="dxa" w:w="115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OS I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Programme et gouvernance de la PCI (CLIN, EOPCI, Points focaux, PTA)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615,000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615,000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1.5%</w:t>
            </w:r>
          </w:p>
        </w:tc>
      </w:tr>
      <w:tr>
        <w:trPr>
          <w:cantSplit/>
        </w:trPr>
        <w:tc>
          <w:tcPr>
            <w:tcW w:type="dxa" w:w="115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OS II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Lignes directives et Procédures Opérationnelles Standardisées (POS)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572,500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572,500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1.4%</w:t>
            </w:r>
          </w:p>
        </w:tc>
      </w:tr>
      <w:tr>
        <w:trPr>
          <w:cantSplit/>
        </w:trPr>
        <w:tc>
          <w:tcPr>
            <w:tcW w:type="dxa" w:w="115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OS III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Formation, éducation en PCI et congrès scientifiques (5 mai inclus)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2,885,000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2,885,000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7.2%</w:t>
            </w:r>
          </w:p>
        </w:tc>
      </w:tr>
      <w:tr>
        <w:trPr>
          <w:cantSplit/>
        </w:trPr>
        <w:tc>
          <w:tcPr>
            <w:tcW w:type="dxa" w:w="115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OS V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Surveillance épidémiologique des IAS et microbiologie hospitalière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3,458,118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3,458,118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8.7%</w:t>
            </w:r>
          </w:p>
        </w:tc>
      </w:tr>
      <w:tr>
        <w:trPr>
          <w:cantSplit/>
        </w:trPr>
        <w:tc>
          <w:tcPr>
            <w:tcW w:type="dxa" w:w="115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OS VII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Suivi, audits des pratiques, informatique et restitution des résultats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1,700,000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1,700,000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4.3%</w:t>
            </w:r>
          </w:p>
        </w:tc>
      </w:tr>
      <w:tr>
        <w:trPr>
          <w:cantSplit/>
        </w:trPr>
        <w:tc>
          <w:tcPr>
            <w:tcW w:type="dxa" w:w="115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OS VIII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Charge de travail, déchets biomédicaux, eau et environnement (WASH)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4,220,000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25,000,000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29,220,000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73.3%</w:t>
            </w:r>
          </w:p>
        </w:tc>
      </w:tr>
      <w:tr>
        <w:trPr>
          <w:cantSplit/>
        </w:trPr>
        <w:tc>
          <w:tcPr>
            <w:tcW w:type="dxa" w:w="115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OS VI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Communication et outils de sensibilisation PCI (affiches, dépliants)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1,400,000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1,400,000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6"/>
              </w:rPr>
              <w:t>3.5%</w:t>
            </w:r>
          </w:p>
        </w:tc>
      </w:tr>
      <w:tr>
        <w:trPr>
          <w:cantSplit/>
        </w:trPr>
        <w:tc>
          <w:tcPr>
            <w:tcW w:type="dxa" w:w="115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547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TOTAL GÉNÉRAL CONSOLIDÉ</w:t>
            </w:r>
          </w:p>
        </w:tc>
        <w:tc>
          <w:tcPr>
            <w:tcW w:type="dxa" w:w="230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14 850 618</w:t>
            </w:r>
          </w:p>
        </w:tc>
        <w:tc>
          <w:tcPr>
            <w:tcW w:type="dxa" w:w="230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25 000 000</w:t>
            </w:r>
          </w:p>
        </w:tc>
        <w:tc>
          <w:tcPr>
            <w:tcW w:type="dxa" w:w="230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39 850 618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100.0%</w:t>
            </w:r>
          </w:p>
        </w:tc>
      </w:tr>
    </w:tbl>
    <w:p>
      <w:pPr>
        <w:spacing w:after="160"/>
      </w:pPr>
    </w:p>
    <w:p>
      <w:pPr>
        <w:spacing w:before="80" w:after="40"/>
      </w:pPr>
      <w:r>
        <w:rPr>
          <w:b/>
          <w:sz w:val="19"/>
        </w:rPr>
        <w:t>Tableau 2 : Répartition par grande Catégorie de Dépenses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B0C4DE"/>
          <w:insideV w:val="single" w:sz="4" w:space="0" w:color="B0C4DE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c>
          <w:tcPr>
            <w:tcW w:type="dxa" w:w="86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N°</w:t>
            </w:r>
          </w:p>
        </w:tc>
        <w:tc>
          <w:tcPr>
            <w:tcW w:type="dxa" w:w="518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Catégorie de Dépenses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Montant (XOF)</w:t>
            </w:r>
          </w:p>
        </w:tc>
        <w:tc>
          <w:tcPr>
            <w:tcW w:type="dxa" w:w="1296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Partiel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Source Principale</w:t>
            </w:r>
          </w:p>
        </w:tc>
        <w:tc>
          <w:tcPr>
            <w:tcW w:type="dxa" w:w="3600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Observations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Formations continues, ateliers pratiques et perfectionnement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2,025,000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5.1%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Fonds Propres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500 soignants, 300 agents, ateliers lavage mains &amp; POS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Microbiologie hospitalière, analyses eau &amp; contrôle désinfectants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3,598,118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9.0%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Fonds Propres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33 séries germes, analyses eau, titrage javel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Matériels informatiques, bureautique &amp; équipements de pesage/archives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1,010,000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2.5%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Fonds Propres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PC, imprimante, SSD, clé, balance DBM, armoire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Équipements médico-techniques d'hygiène et collecte DBM (poubelles, lavabos)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1,600,000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4.0%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Fonds Propres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50 poubelles à pédale, 20 dispositifs lavage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Consommables d'hygiène hospitalière (savon liquide 250L, essuie-mains 250r)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500,000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1.3%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Fonds Propres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250 L savon liquide, 250 rouleaux essuie-mains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Fournitures de bureau, papier RAM, registres, encres et documentation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880,000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2.2%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Fonds Propres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12 registres 5 mains, 12 rames, encres, fournitures EOPCI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Communication, outils visuels (affiches, dépliants), diffusion &amp; Journée 5 mai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2,550,000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6.4%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Fonds Propres / PTF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Affiches plastifiées, dépliants, pose, 5 mai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Audits cliniques, enquêtes de prévalence, observance &amp; suivi qualité DBM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820,000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2.1%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Fonds Propres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Logistique audit mensuel, EPJ, fiches DBM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Gouvernance, sessions du CLIN, réunions d'équipe &amp; réseau points focaux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417,500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1.0%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Fonds Propres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Collations et dossiers CLIN, EOPCI, points focaux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Participation aux congrès scientifiques et communications (SB2HPCI)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750,000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1.9%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Fonds Propres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15 participants + posters scientifiques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Expertise externe et accompagnement technique PCI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200,000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0.5%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Fonds Propres / PTF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Appui technique spécialisé externe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Études préalables et audit technique dimensionnement incinérateur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500,000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1.3%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Fonds Propres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Cahier des charges et faisabilité technique</w:t>
            </w:r>
          </w:p>
        </w:tc>
      </w:tr>
      <w:tr>
        <w:trPr>
          <w:cantSplit/>
        </w:trPr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Investissement lourd d'infrastructure (Incinérateur hospitalier moderne)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25,000,000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62.7%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Subvention État / PTF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Installation incinérateur pyrolytique moderne</w:t>
            </w:r>
          </w:p>
        </w:tc>
      </w:tr>
      <w:tr>
        <w:trPr>
          <w:cantSplit/>
        </w:trPr>
        <w:tc>
          <w:tcPr>
            <w:tcW w:type="dxa" w:w="86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5184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39 850 618</w:t>
            </w:r>
          </w:p>
        </w:tc>
        <w:tc>
          <w:tcPr>
            <w:tcW w:type="dxa" w:w="1296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100.0%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600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5035"/>
        <w:gridCol w:w="5035"/>
        <w:gridCol w:w="5035"/>
      </w:tblGrid>
      <w:tr>
        <w:tc>
          <w:tcPr>
            <w:tcW w:type="dxa" w:w="4896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Pour l'Équipe Opérationnelle PCI</w:t>
              <w:br/>
              <w:t>Le Point Focal PCI</w:t>
            </w:r>
          </w:p>
        </w:tc>
        <w:tc>
          <w:tcPr>
            <w:tcW w:type="dxa" w:w="4896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Pour le CLIN</w:t>
              <w:br/>
              <w:t>Le Président du CLIN</w:t>
            </w:r>
          </w:p>
        </w:tc>
        <w:tc>
          <w:tcPr>
            <w:tcW w:type="dxa" w:w="4896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Pour la Direction Générale du CHU-MEL</w:t>
              <w:br/>
              <w:t>Le Directeur Général</w:t>
            </w:r>
          </w:p>
        </w:tc>
      </w:tr>
      <w:tr>
        <w:tc>
          <w:tcPr>
            <w:tcW w:type="dxa" w:w="4896"/>
            <w:tcMar>
              <w:top w:w="180" w:type="dxa"/>
              <w:bottom w:w="1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br/>
              <w:br/>
              <w:br/>
              <w:t>Date et Signature :</w:t>
              <w:br/>
            </w:r>
          </w:p>
        </w:tc>
        <w:tc>
          <w:tcPr>
            <w:tcW w:type="dxa" w:w="4896"/>
            <w:tcMar>
              <w:top w:w="180" w:type="dxa"/>
              <w:bottom w:w="1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br/>
              <w:br/>
              <w:br/>
              <w:t>Date et Signature :</w:t>
              <w:br/>
            </w:r>
          </w:p>
        </w:tc>
        <w:tc>
          <w:tcPr>
            <w:tcW w:type="dxa" w:w="4896"/>
            <w:tcMar>
              <w:top w:w="180" w:type="dxa"/>
              <w:bottom w:w="1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br/>
              <w:br/>
              <w:br/>
              <w:t>Date et Signature :</w:t>
              <w:br/>
            </w:r>
          </w:p>
        </w:tc>
      </w:tr>
    </w:tbl>
    <w:sectPr w:rsidR="00FC693F" w:rsidRPr="0006063C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