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0"/>
        </w:rPr>
        <w:t>RÉPUBLIQUE DU BÉNIN</w:t>
        <w:br/>
        <w:t>MINISTÈRE DE LA SANTÉ</w:t>
        <w:br/>
      </w:r>
      <w:r>
        <w:rPr>
          <w:b/>
          <w:color w:val="1B365D"/>
          <w:sz w:val="22"/>
        </w:rPr>
        <w:t>CENTRE HOSPITALIER UNIVERSITAIRE DE LA MÈRE ET DE L'ENFANT LAGUNE (CHU-MEL)</w:t>
        <w:br/>
      </w:r>
      <w:r>
        <w:rPr>
          <w:i/>
          <w:color w:val="505050"/>
          <w:sz w:val="19"/>
        </w:rPr>
        <w:t>COMITÉ DE LUTTE CONTRE LES INFECTIONS NOSOCOMIALES (CLIN)</w:t>
        <w:br/>
        <w:t>ÉQUIPE OPÉRATIONNELLE DE PRÉVENTION ET CONTRÔLE DES INFECTIONS (EOPCI)</w:t>
      </w:r>
    </w:p>
    <w:p>
      <w:pPr>
        <w:spacing w:before="160" w:after="240"/>
        <w:jc w:val="center"/>
      </w:pPr>
      <w:r>
        <w:rPr>
          <w:b/>
          <w:color w:val="1B365D"/>
          <w:sz w:val="28"/>
        </w:rPr>
        <w:t>PLAN DE TRAVAIL ANNUEL (PTA) CLIN / PCI 2026-2027</w:t>
        <w:br/>
        <w:t>PROPOSITION DE PLAN OPÉRATIONNEL (RÉAJUSTÉ)</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7553"/>
        <w:gridCol w:w="7553"/>
      </w:tblGrid>
      <w:tr>
        <w:tc>
          <w:tcPr>
            <w:tcW w:type="dxa" w:w="7553"/>
            <w:shd w:fill="F2F5F9"/>
            <w:tcMar>
              <w:top w:w="60" w:type="dxa"/>
              <w:bottom w:w="60" w:type="dxa"/>
              <w:left w:w="100" w:type="dxa"/>
              <w:right w:w="100" w:type="dxa"/>
            </w:tcMar>
          </w:tcPr>
          <w:p>
            <w:r/>
            <w:r>
              <w:rPr>
                <w:b/>
                <w:color w:val="1B365D"/>
                <w:sz w:val="18"/>
              </w:rPr>
              <w:t xml:space="preserve">Période d'exécution : </w:t>
            </w:r>
            <w:r>
              <w:rPr>
                <w:sz w:val="18"/>
              </w:rPr>
              <w:t>Exercice 2026-2027 (Octobre 2026 - Septembre 2027)</w:t>
            </w:r>
          </w:p>
        </w:tc>
        <w:tc>
          <w:tcPr>
            <w:tcW w:type="dxa" w:w="7553"/>
            <w:shd w:fill="F2F5F9"/>
            <w:tcMar>
              <w:top w:w="60" w:type="dxa"/>
              <w:bottom w:w="60" w:type="dxa"/>
              <w:left w:w="100" w:type="dxa"/>
              <w:right w:w="100" w:type="dxa"/>
            </w:tcMar>
          </w:tcPr>
          <w:p>
            <w:r/>
            <w:r>
              <w:rPr>
                <w:b/>
                <w:color w:val="1B365D"/>
                <w:sz w:val="18"/>
              </w:rPr>
              <w:t xml:space="preserve">Établissement : </w:t>
            </w:r>
            <w:r>
              <w:rPr>
                <w:sz w:val="18"/>
              </w:rPr>
              <w:t>Centre Hospitalier Universitaire de la Mère et de l'Enfant Lagune (CHU-MEL)</w:t>
            </w:r>
          </w:p>
        </w:tc>
      </w:tr>
      <w:tr>
        <w:tc>
          <w:tcPr>
            <w:tcW w:type="dxa" w:w="7553"/>
            <w:shd w:fill="F2F5F9"/>
            <w:tcMar>
              <w:top w:w="60" w:type="dxa"/>
              <w:bottom w:w="60" w:type="dxa"/>
              <w:left w:w="100" w:type="dxa"/>
              <w:right w:w="100" w:type="dxa"/>
            </w:tcMar>
          </w:tcPr>
          <w:p>
            <w:r/>
            <w:r>
              <w:rPr>
                <w:b/>
                <w:color w:val="1B365D"/>
                <w:sz w:val="18"/>
              </w:rPr>
              <w:t xml:space="preserve">Point Focal / Rapporteur : </w:t>
            </w:r>
            <w:r>
              <w:rPr>
                <w:sz w:val="18"/>
              </w:rPr>
              <w:t>Dr da Sylva Raymond (Point Focal PCI / CLIN)</w:t>
            </w:r>
          </w:p>
        </w:tc>
        <w:tc>
          <w:tcPr>
            <w:tcW w:type="dxa" w:w="7553"/>
            <w:shd w:fill="F2F5F9"/>
            <w:tcMar>
              <w:top w:w="60" w:type="dxa"/>
              <w:bottom w:w="60" w:type="dxa"/>
              <w:left w:w="100" w:type="dxa"/>
              <w:right w:w="100" w:type="dxa"/>
            </w:tcMar>
          </w:tcPr>
          <w:p>
            <w:r/>
            <w:r>
              <w:rPr>
                <w:b/>
                <w:color w:val="1B365D"/>
                <w:sz w:val="18"/>
              </w:rPr>
              <w:t xml:space="preserve">Contact : </w:t>
            </w:r>
            <w:r>
              <w:rPr>
                <w:sz w:val="18"/>
              </w:rPr>
              <w:t>Tél : +229 66 46 27 23 | Email : raymond08sg@gmail.com</w:t>
            </w:r>
          </w:p>
        </w:tc>
      </w:tr>
      <w:tr>
        <w:tc>
          <w:tcPr>
            <w:tcW w:type="dxa" w:w="7553"/>
            <w:shd w:fill="F2F5F9"/>
            <w:tcMar>
              <w:top w:w="60" w:type="dxa"/>
              <w:bottom w:w="60" w:type="dxa"/>
              <w:left w:w="100" w:type="dxa"/>
              <w:right w:w="100" w:type="dxa"/>
            </w:tcMar>
          </w:tcPr>
          <w:p>
            <w:r/>
            <w:r>
              <w:rPr>
                <w:b/>
                <w:color w:val="1B365D"/>
                <w:sz w:val="18"/>
              </w:rPr>
              <w:t xml:space="preserve">Version : </w:t>
            </w:r>
            <w:r>
              <w:rPr>
                <w:sz w:val="18"/>
              </w:rPr>
              <w:t>Proposition réajustée intégrant les nouvelles activités et orientations 2026-2027</w:t>
            </w:r>
          </w:p>
        </w:tc>
        <w:tc>
          <w:tcPr>
            <w:tcW w:type="dxa" w:w="7553"/>
            <w:shd w:fill="F2F5F9"/>
            <w:tcMar>
              <w:top w:w="60" w:type="dxa"/>
              <w:bottom w:w="60" w:type="dxa"/>
              <w:left w:w="100" w:type="dxa"/>
              <w:right w:w="100" w:type="dxa"/>
            </w:tcMar>
          </w:tcPr>
          <w:p>
            <w:r/>
            <w:r>
              <w:rPr>
                <w:b/>
                <w:color w:val="1B365D"/>
                <w:sz w:val="18"/>
              </w:rPr>
              <w:t xml:space="preserve">Statut du document : </w:t>
            </w:r>
            <w:r>
              <w:rPr>
                <w:sz w:val="18"/>
              </w:rPr>
              <w:t>Document final consolidé soumis pour approbation institutionnelle</w:t>
            </w:r>
          </w:p>
        </w:tc>
      </w:tr>
    </w:tbl>
    <w:p>
      <w:pPr>
        <w:spacing w:after="160"/>
      </w:pPr>
    </w:p>
    <w:p>
      <w:pPr>
        <w:spacing w:after="160"/>
      </w:pPr>
      <w:r>
        <w:rPr>
          <w:b/>
          <w:color w:val="1B365D"/>
          <w:sz w:val="22"/>
        </w:rPr>
        <w:t>1. Contexte, Évolutions et Synthèse des Réajustements</w:t>
        <w:br/>
      </w:r>
      <w:r>
        <w:rPr>
          <w:sz w:val="17"/>
        </w:rPr>
        <w:t>La présente version réajustée du Plan de Travail Annuel (PTA) CLIN/PCI 2026-2027 du CHU-MEL intègre pleinement les ajouts et reformulations stratégiques apportés au document initial :</w:t>
        <w:br/>
        <w:t>1. Intégration de la Gouvernance sous l'OS I : Les réunions hebdomadaires de l'EOPCI et les sessions trimestrielles du CLIN sont désormais rattachées à l'OS I en tant qu'intervention 1.2, renforçant la cohérence du pilotage institutionnel avec le cahier des charges de l'EOPCI, les fiches de tâches, le réseau de 24 points focaux médico-techniques et le recours à une expertise externe d'accompagnement.</w:t>
        <w:br/>
        <w:t>2. Renforcement de la Formation Pratique : Ajout d'ateliers de démonstration pratique du lavage/friction des mains pour l'ensemble des agents hospitaliers et connexes, valorisation scientifique des données au congrès de la Société Béninoise d'Hygiène Hospitalière (SB2HPCI) et Journée du 5 mai.</w:t>
        <w:br/>
        <w:t>3. Surveillance Hebdomadaire Active : Mise en place d'un recueil hebdomadaire des données d'IAS par les points focaux de service avec analyse et présentation systématique aux réunions de l'EOPCI, en complément des enquêtes de prévalence ciblées et des 33 séries microbiologiques au laboratoire.</w:t>
        <w:br/>
        <w:t>4. Suivi Qualité DBM et Traçabilité : Instauration d'un suivi mensuel de la qualité du tri des DBM et supervision étendue de la disponibilité des équipements de lavage des mains, bionettoyage, lingerie et stérilisation.</w:t>
        <w:br/>
        <w:t>5. Axe Stratégique Dédié à la Communication : Structuration complète de l'élaboration, de la multiplication (500 affiches/posters plastifiés) et de la diffusion pérenne des outils de communication visuelle au point de soins.</w:t>
      </w:r>
    </w:p>
    <w:p>
      <w:pPr>
        <w:spacing w:before="120" w:after="80"/>
      </w:pPr>
      <w:r>
        <w:rPr>
          <w:b/>
          <w:color w:val="1B365D"/>
          <w:sz w:val="22"/>
        </w:rPr>
        <w:t>2. Matrice Opérationnelle Réajustée du Plan de Travail Annuel (PTA) 2026-2027</w:t>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Pr>
      <w:tblGrid>
        <w:gridCol w:w="1888"/>
        <w:gridCol w:w="1888"/>
        <w:gridCol w:w="1888"/>
        <w:gridCol w:w="1888"/>
        <w:gridCol w:w="1888"/>
        <w:gridCol w:w="1888"/>
        <w:gridCol w:w="1888"/>
        <w:gridCol w:w="1888"/>
      </w:tblGrid>
      <w:tr>
        <w:trPr>
          <w:tblHeader/>
        </w:trPr>
        <w:tc>
          <w:tcPr>
            <w:tcW w:type="dxa" w:w="1872"/>
            <w:vMerge w:val="restart"/>
            <w:shd w:fill="1B365D"/>
            <w:tcMar>
              <w:top w:w="80" w:type="dxa"/>
              <w:bottom w:w="80" w:type="dxa"/>
              <w:left w:w="80" w:type="dxa"/>
              <w:right w:w="80" w:type="dxa"/>
            </w:tcMar>
          </w:tcPr>
          <w:p>
            <w:pPr>
              <w:jc w:val="center"/>
            </w:pPr>
            <w:r>
              <w:rPr>
                <w:b/>
                <w:color w:val="FFFFFF"/>
                <w:sz w:val="17"/>
              </w:rPr>
              <w:t>Objectifs stratégiques</w:t>
            </w:r>
          </w:p>
          <w:p>
            <w:pPr>
              <w:jc w:val="center"/>
            </w:pPr>
            <w:r>
              <w:rPr>
                <w:b/>
                <w:color w:val="FFFFFF"/>
                <w:sz w:val="16"/>
              </w:rPr>
            </w:r>
          </w:p>
        </w:tc>
        <w:tc>
          <w:tcPr>
            <w:tcW w:type="dxa" w:w="2304"/>
            <w:vMerge w:val="restart"/>
            <w:shd w:fill="1B365D"/>
            <w:tcMar>
              <w:top w:w="80" w:type="dxa"/>
              <w:bottom w:w="80" w:type="dxa"/>
              <w:left w:w="80" w:type="dxa"/>
              <w:right w:w="80" w:type="dxa"/>
            </w:tcMar>
          </w:tcPr>
          <w:p>
            <w:pPr>
              <w:jc w:val="center"/>
            </w:pPr>
            <w:r>
              <w:rPr>
                <w:b/>
                <w:color w:val="FFFFFF"/>
                <w:sz w:val="17"/>
              </w:rPr>
              <w:t>Interventions stratégiques</w:t>
            </w:r>
          </w:p>
          <w:p>
            <w:pPr>
              <w:jc w:val="center"/>
            </w:pPr>
            <w:r>
              <w:rPr>
                <w:b/>
                <w:color w:val="FFFFFF"/>
                <w:sz w:val="16"/>
              </w:rPr>
            </w:r>
          </w:p>
        </w:tc>
        <w:tc>
          <w:tcPr>
            <w:tcW w:type="dxa" w:w="3888"/>
            <w:vMerge w:val="restart"/>
            <w:shd w:fill="1B365D"/>
            <w:tcMar>
              <w:top w:w="80" w:type="dxa"/>
              <w:bottom w:w="80" w:type="dxa"/>
              <w:left w:w="80" w:type="dxa"/>
              <w:right w:w="80" w:type="dxa"/>
            </w:tcMar>
          </w:tcPr>
          <w:p>
            <w:pPr>
              <w:jc w:val="center"/>
            </w:pPr>
            <w:r>
              <w:rPr>
                <w:b/>
                <w:color w:val="FFFFFF"/>
                <w:sz w:val="17"/>
              </w:rPr>
              <w:t>Activité / Sous-activité</w:t>
            </w:r>
          </w:p>
          <w:p>
            <w:pPr>
              <w:jc w:val="center"/>
            </w:pPr>
            <w:r>
              <w:rPr>
                <w:b/>
                <w:color w:val="FFFFFF"/>
                <w:sz w:val="16"/>
              </w:rPr>
            </w:r>
          </w:p>
        </w:tc>
        <w:tc>
          <w:tcPr>
            <w:tcW w:type="dxa" w:w="1296"/>
            <w:vMerge w:val="restart"/>
            <w:shd w:fill="1B365D"/>
            <w:tcMar>
              <w:top w:w="80" w:type="dxa"/>
              <w:bottom w:w="80" w:type="dxa"/>
              <w:left w:w="80" w:type="dxa"/>
              <w:right w:w="80" w:type="dxa"/>
            </w:tcMar>
          </w:tcPr>
          <w:p>
            <w:pPr>
              <w:jc w:val="center"/>
            </w:pPr>
            <w:r>
              <w:rPr>
                <w:b/>
                <w:color w:val="FFFFFF"/>
                <w:sz w:val="17"/>
              </w:rPr>
              <w:t>Responsabilité</w:t>
            </w:r>
          </w:p>
          <w:p>
            <w:pPr>
              <w:jc w:val="center"/>
            </w:pPr>
            <w:r>
              <w:rPr>
                <w:b/>
                <w:color w:val="FFFFFF"/>
                <w:sz w:val="16"/>
              </w:rPr>
            </w:r>
          </w:p>
        </w:tc>
        <w:tc>
          <w:tcPr>
            <w:tcW w:type="dxa" w:w="1296"/>
            <w:vMerge w:val="restart"/>
            <w:shd w:fill="1B365D"/>
            <w:tcMar>
              <w:top w:w="80" w:type="dxa"/>
              <w:bottom w:w="80" w:type="dxa"/>
              <w:left w:w="80" w:type="dxa"/>
              <w:right w:w="80" w:type="dxa"/>
            </w:tcMar>
          </w:tcPr>
          <w:p>
            <w:pPr>
              <w:jc w:val="center"/>
            </w:pPr>
            <w:r>
              <w:rPr>
                <w:b/>
                <w:color w:val="FFFFFF"/>
                <w:sz w:val="17"/>
              </w:rPr>
              <w:t>Délai d’exécution</w:t>
            </w:r>
          </w:p>
          <w:p>
            <w:pPr>
              <w:jc w:val="center"/>
            </w:pPr>
            <w:r>
              <w:rPr>
                <w:b/>
                <w:color w:val="FFFFFF"/>
                <w:sz w:val="16"/>
              </w:rPr>
            </w:r>
          </w:p>
        </w:tc>
        <w:tc>
          <w:tcPr>
            <w:tcW w:type="dxa" w:w="2160"/>
            <w:gridSpan w:val="2"/>
            <w:shd w:fill="1B365D"/>
            <w:tcMar>
              <w:top w:w="80" w:type="dxa"/>
              <w:bottom w:w="80" w:type="dxa"/>
              <w:left w:w="80" w:type="dxa"/>
              <w:right w:w="80" w:type="dxa"/>
            </w:tcMar>
          </w:tcPr>
          <w:p>
            <w:pPr>
              <w:jc w:val="center"/>
            </w:pPr>
            <w:r>
              <w:rPr>
                <w:b/>
                <w:color w:val="FFFFFF"/>
                <w:sz w:val="17"/>
              </w:rPr>
              <w:t>Indicateurs</w:t>
            </w:r>
          </w:p>
          <w:p>
            <w:pPr>
              <w:jc w:val="center"/>
            </w:pPr>
            <w:r>
              <w:rPr>
                <w:b/>
                <w:color w:val="FFFFFF"/>
                <w:sz w:val="17"/>
              </w:rPr>
            </w:r>
          </w:p>
        </w:tc>
        <w:tc>
          <w:tcPr>
            <w:tcW w:type="dxa" w:w="1152"/>
            <w:vMerge w:val="restart"/>
            <w:shd w:fill="1B365D"/>
            <w:tcMar>
              <w:top w:w="80" w:type="dxa"/>
              <w:bottom w:w="80" w:type="dxa"/>
              <w:left w:w="80" w:type="dxa"/>
              <w:right w:w="80" w:type="dxa"/>
            </w:tcMar>
          </w:tcPr>
          <w:p>
            <w:pPr>
              <w:jc w:val="center"/>
            </w:pPr>
            <w:r>
              <w:rPr>
                <w:b/>
                <w:color w:val="FFFFFF"/>
                <w:sz w:val="17"/>
              </w:rPr>
              <w:t>Source de financement</w:t>
            </w:r>
          </w:p>
          <w:p>
            <w:pPr>
              <w:jc w:val="center"/>
            </w:pPr>
            <w:r>
              <w:rPr>
                <w:b/>
                <w:color w:val="FFFFFF"/>
                <w:sz w:val="16"/>
              </w:rPr>
            </w:r>
          </w:p>
        </w:tc>
      </w:tr>
      <w:tr>
        <w:trPr>
          <w:tblHeader/>
        </w:trPr>
        <w:tc>
          <w:tcPr>
            <w:tcW w:type="dxa" w:w="1888"/>
            <w:vMerge/>
            <w:shd w:fill="2E5B88"/>
            <w:tcMar>
              <w:top w:w="60" w:type="dxa"/>
              <w:bottom w:w="60" w:type="dxa"/>
              <w:left w:w="80" w:type="dxa"/>
              <w:right w:w="80" w:type="dxa"/>
            </w:tcMar>
          </w:tcPr>
          <w:p/>
        </w:tc>
        <w:tc>
          <w:tcPr>
            <w:tcW w:type="dxa" w:w="1888"/>
            <w:vMerge/>
            <w:shd w:fill="2E5B88"/>
            <w:tcMar>
              <w:top w:w="60" w:type="dxa"/>
              <w:bottom w:w="60" w:type="dxa"/>
              <w:left w:w="80" w:type="dxa"/>
              <w:right w:w="80" w:type="dxa"/>
            </w:tcMar>
          </w:tcPr>
          <w:p/>
        </w:tc>
        <w:tc>
          <w:tcPr>
            <w:tcW w:type="dxa" w:w="1888"/>
            <w:vMerge/>
            <w:shd w:fill="2E5B88"/>
            <w:tcMar>
              <w:top w:w="60" w:type="dxa"/>
              <w:bottom w:w="60" w:type="dxa"/>
              <w:left w:w="80" w:type="dxa"/>
              <w:right w:w="80" w:type="dxa"/>
            </w:tcMar>
          </w:tcPr>
          <w:p/>
        </w:tc>
        <w:tc>
          <w:tcPr>
            <w:tcW w:type="dxa" w:w="1888"/>
            <w:vMerge/>
            <w:shd w:fill="2E5B88"/>
            <w:tcMar>
              <w:top w:w="60" w:type="dxa"/>
              <w:bottom w:w="60" w:type="dxa"/>
              <w:left w:w="80" w:type="dxa"/>
              <w:right w:w="80" w:type="dxa"/>
            </w:tcMar>
          </w:tcPr>
          <w:p/>
        </w:tc>
        <w:tc>
          <w:tcPr>
            <w:tcW w:type="dxa" w:w="1888"/>
            <w:vMerge/>
            <w:shd w:fill="2E5B88"/>
            <w:tcMar>
              <w:top w:w="60" w:type="dxa"/>
              <w:bottom w:w="60" w:type="dxa"/>
              <w:left w:w="80" w:type="dxa"/>
              <w:right w:w="80" w:type="dxa"/>
            </w:tcMar>
          </w:tcPr>
          <w:p/>
        </w:tc>
        <w:tc>
          <w:tcPr>
            <w:tcW w:type="dxa" w:w="2016"/>
            <w:shd w:fill="2E5B88"/>
            <w:tcMar>
              <w:top w:w="60" w:type="dxa"/>
              <w:bottom w:w="60" w:type="dxa"/>
              <w:left w:w="80" w:type="dxa"/>
              <w:right w:w="80" w:type="dxa"/>
            </w:tcMar>
          </w:tcPr>
          <w:p>
            <w:pPr>
              <w:jc w:val="center"/>
            </w:pPr>
            <w:r>
              <w:rPr>
                <w:b/>
                <w:color w:val="FFFFFF"/>
                <w:sz w:val="16"/>
              </w:rPr>
              <w:t>De base</w:t>
            </w:r>
          </w:p>
        </w:tc>
        <w:tc>
          <w:tcPr>
            <w:tcW w:type="dxa" w:w="2160"/>
            <w:shd w:fill="2E5B88"/>
            <w:tcMar>
              <w:top w:w="60" w:type="dxa"/>
              <w:bottom w:w="60" w:type="dxa"/>
              <w:left w:w="80" w:type="dxa"/>
              <w:right w:w="80" w:type="dxa"/>
            </w:tcMar>
          </w:tcPr>
          <w:p>
            <w:pPr>
              <w:jc w:val="center"/>
            </w:pPr>
            <w:r>
              <w:rPr>
                <w:b/>
                <w:color w:val="FFFFFF"/>
                <w:sz w:val="16"/>
              </w:rPr>
              <w:t>Cible</w:t>
            </w:r>
          </w:p>
        </w:tc>
        <w:tc>
          <w:tcPr>
            <w:tcW w:type="dxa" w:w="1888"/>
            <w:vMerge/>
            <w:shd w:fill="2E5B88"/>
            <w:tcMar>
              <w:top w:w="60" w:type="dxa"/>
              <w:bottom w:w="60" w:type="dxa"/>
              <w:left w:w="80" w:type="dxa"/>
              <w:right w:w="80" w:type="dxa"/>
            </w:tcMar>
          </w:tcPr>
          <w:p/>
        </w:tc>
      </w:tr>
      <w:tr>
        <w:trPr>
          <w:cantSplit/>
        </w:trPr>
        <w:tc>
          <w:tcPr>
            <w:tcW w:type="dxa" w:w="1872"/>
            <w:vMerge w:val="restart"/>
            <w:shd w:fill="D9E1F2"/>
            <w:tcMar>
              <w:top w:w="60" w:type="dxa"/>
              <w:bottom w:w="60" w:type="dxa"/>
              <w:left w:w="60" w:type="dxa"/>
              <w:right w:w="60" w:type="dxa"/>
            </w:tcMar>
          </w:tcPr>
          <w:p>
            <w:r>
              <w:rPr>
                <w:b/>
                <w:color w:val="1B365D"/>
                <w:sz w:val="17"/>
              </w:rPr>
              <w:t>I. PROGRAMME PCI</w:t>
            </w:r>
          </w:p>
        </w:tc>
        <w:tc>
          <w:tcPr>
            <w:tcW w:type="dxa" w:w="2304"/>
            <w:vMerge w:val="restart"/>
            <w:shd w:fill="F2F2F2"/>
            <w:tcMar>
              <w:top w:w="60" w:type="dxa"/>
              <w:bottom w:w="60" w:type="dxa"/>
              <w:left w:w="60" w:type="dxa"/>
              <w:right w:w="60" w:type="dxa"/>
            </w:tcMar>
          </w:tcPr>
          <w:p>
            <w:r>
              <w:rPr>
                <w:b/>
                <w:sz w:val="15"/>
              </w:rPr>
              <w:t>1.1. Renforcement de la structure institutionnelle et fonctionnelle de la PCI (service/unité)</w:t>
            </w:r>
          </w:p>
        </w:tc>
        <w:tc>
          <w:tcPr>
            <w:tcW w:type="dxa" w:w="3888"/>
            <w:tcMar>
              <w:top w:w="60" w:type="dxa"/>
              <w:bottom w:w="60" w:type="dxa"/>
              <w:left w:w="60" w:type="dxa"/>
              <w:right w:w="60" w:type="dxa"/>
            </w:tcMar>
          </w:tcPr>
          <w:p>
            <w:r>
              <w:rPr>
                <w:sz w:val="16"/>
              </w:rPr>
              <w:t>1.1.1. Rédiger le cahier de charges de l'EOPCI</w:t>
            </w:r>
          </w:p>
        </w:tc>
        <w:tc>
          <w:tcPr>
            <w:tcW w:type="dxa" w:w="1296"/>
            <w:tcMar>
              <w:top w:w="60" w:type="dxa"/>
              <w:bottom w:w="60" w:type="dxa"/>
              <w:left w:w="40" w:type="dxa"/>
              <w:right w:w="40" w:type="dxa"/>
            </w:tcMar>
          </w:tcPr>
          <w:p>
            <w:pPr>
              <w:jc w:val="center"/>
            </w:pPr>
            <w:r>
              <w:rPr>
                <w:sz w:val="15"/>
              </w:rPr>
              <w:t>Point focal / EOPCI / DG</w:t>
            </w:r>
          </w:p>
        </w:tc>
        <w:tc>
          <w:tcPr>
            <w:tcW w:type="dxa" w:w="1296"/>
            <w:tcMar>
              <w:top w:w="60" w:type="dxa"/>
              <w:bottom w:w="60" w:type="dxa"/>
              <w:left w:w="40" w:type="dxa"/>
              <w:right w:w="40" w:type="dxa"/>
            </w:tcMar>
          </w:tcPr>
          <w:p>
            <w:pPr>
              <w:jc w:val="center"/>
            </w:pPr>
            <w:r>
              <w:rPr>
                <w:sz w:val="15"/>
              </w:rPr>
              <w:t>Octobre 2026</w:t>
            </w:r>
          </w:p>
        </w:tc>
        <w:tc>
          <w:tcPr>
            <w:tcW w:type="dxa" w:w="2016"/>
            <w:tcMar>
              <w:top w:w="60" w:type="dxa"/>
              <w:bottom w:w="60" w:type="dxa"/>
              <w:left w:w="60" w:type="dxa"/>
              <w:right w:w="60" w:type="dxa"/>
            </w:tcMar>
          </w:tcPr>
          <w:p>
            <w:r>
              <w:rPr>
                <w:sz w:val="15"/>
              </w:rPr>
              <w:t>Cahier de charges non formalisé</w:t>
            </w:r>
          </w:p>
        </w:tc>
        <w:tc>
          <w:tcPr>
            <w:tcW w:type="dxa" w:w="2160"/>
            <w:tcMar>
              <w:top w:w="60" w:type="dxa"/>
              <w:bottom w:w="60" w:type="dxa"/>
              <w:left w:w="60" w:type="dxa"/>
              <w:right w:w="60" w:type="dxa"/>
            </w:tcMar>
          </w:tcPr>
          <w:p>
            <w:r>
              <w:rPr>
                <w:sz w:val="15"/>
              </w:rPr>
              <w:t>Cahier de charges de l'EOPCI élaboré, validé et approuvé par la DG</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1.1.2. Rédiger la note de service portant nomination du Point Focal PCI du CHUMEL ainsi que la fiche des tâches de chaque membre</w:t>
            </w:r>
          </w:p>
        </w:tc>
        <w:tc>
          <w:tcPr>
            <w:tcW w:type="dxa" w:w="1296"/>
            <w:tcMar>
              <w:top w:w="60" w:type="dxa"/>
              <w:bottom w:w="60" w:type="dxa"/>
              <w:left w:w="40" w:type="dxa"/>
              <w:right w:w="40" w:type="dxa"/>
            </w:tcMar>
          </w:tcPr>
          <w:p>
            <w:pPr>
              <w:jc w:val="center"/>
            </w:pPr>
            <w:r>
              <w:rPr>
                <w:sz w:val="15"/>
              </w:rPr>
              <w:t>DG / Point focal</w:t>
            </w:r>
          </w:p>
        </w:tc>
        <w:tc>
          <w:tcPr>
            <w:tcW w:type="dxa" w:w="1296"/>
            <w:tcMar>
              <w:top w:w="60" w:type="dxa"/>
              <w:bottom w:w="60" w:type="dxa"/>
              <w:left w:w="40" w:type="dxa"/>
              <w:right w:w="40" w:type="dxa"/>
            </w:tcMar>
          </w:tcPr>
          <w:p>
            <w:pPr>
              <w:jc w:val="center"/>
            </w:pPr>
            <w:r>
              <w:rPr>
                <w:sz w:val="15"/>
              </w:rPr>
              <w:t>Octobre 2026</w:t>
            </w:r>
          </w:p>
        </w:tc>
        <w:tc>
          <w:tcPr>
            <w:tcW w:type="dxa" w:w="2016"/>
            <w:tcMar>
              <w:top w:w="60" w:type="dxa"/>
              <w:bottom w:w="60" w:type="dxa"/>
              <w:left w:w="60" w:type="dxa"/>
              <w:right w:w="60" w:type="dxa"/>
            </w:tcMar>
          </w:tcPr>
          <w:p>
            <w:r>
              <w:rPr>
                <w:sz w:val="15"/>
              </w:rPr>
              <w:t>Note de nomination antérieure caduque et fiches de tâches inexistantes</w:t>
            </w:r>
          </w:p>
        </w:tc>
        <w:tc>
          <w:tcPr>
            <w:tcW w:type="dxa" w:w="2160"/>
            <w:tcMar>
              <w:top w:w="60" w:type="dxa"/>
              <w:bottom w:w="60" w:type="dxa"/>
              <w:left w:w="60" w:type="dxa"/>
              <w:right w:w="60" w:type="dxa"/>
            </w:tcMar>
          </w:tcPr>
          <w:p>
            <w:r>
              <w:rPr>
                <w:sz w:val="15"/>
              </w:rPr>
              <w:t>Note de service officielle signée par le DG et fiches des tâches notifiées à chaque membre</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1.1.3. Renouveler et formaliser le Comité de Lutte contre les Infections Nosocomiales (CLIN)</w:t>
            </w:r>
          </w:p>
        </w:tc>
        <w:tc>
          <w:tcPr>
            <w:tcW w:type="dxa" w:w="1296"/>
            <w:tcMar>
              <w:top w:w="60" w:type="dxa"/>
              <w:bottom w:w="60" w:type="dxa"/>
              <w:left w:w="40" w:type="dxa"/>
              <w:right w:w="40" w:type="dxa"/>
            </w:tcMar>
          </w:tcPr>
          <w:p>
            <w:pPr>
              <w:jc w:val="center"/>
            </w:pPr>
            <w:r>
              <w:rPr>
                <w:sz w:val="15"/>
              </w:rPr>
              <w:t>DG / CLIN</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Mandat des membres du CLIN arrivé à échéance</w:t>
            </w:r>
          </w:p>
        </w:tc>
        <w:tc>
          <w:tcPr>
            <w:tcW w:type="dxa" w:w="2160"/>
            <w:tcMar>
              <w:top w:w="60" w:type="dxa"/>
              <w:bottom w:w="60" w:type="dxa"/>
              <w:left w:w="60" w:type="dxa"/>
              <w:right w:w="60" w:type="dxa"/>
            </w:tcMar>
          </w:tcPr>
          <w:p>
            <w:r>
              <w:rPr>
                <w:sz w:val="15"/>
              </w:rPr>
              <w:t>Décision institutionnelle portant renouvellement des membres du CLIN publiée</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1.1.4. Renouveler et restructurer l’Équipe Opérationnelle de PCI (EOPCI)</w:t>
            </w:r>
          </w:p>
        </w:tc>
        <w:tc>
          <w:tcPr>
            <w:tcW w:type="dxa" w:w="1296"/>
            <w:tcMar>
              <w:top w:w="60" w:type="dxa"/>
              <w:bottom w:w="60" w:type="dxa"/>
              <w:left w:w="40" w:type="dxa"/>
              <w:right w:w="40" w:type="dxa"/>
            </w:tcMar>
          </w:tcPr>
          <w:p>
            <w:pPr>
              <w:jc w:val="center"/>
            </w:pPr>
            <w:r>
              <w:rPr>
                <w:sz w:val="15"/>
              </w:rPr>
              <w:t>DG / Point focal</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Composition antérieure de l'EOPCI partielle et informelle</w:t>
            </w:r>
          </w:p>
        </w:tc>
        <w:tc>
          <w:tcPr>
            <w:tcW w:type="dxa" w:w="2160"/>
            <w:tcMar>
              <w:top w:w="60" w:type="dxa"/>
              <w:bottom w:w="60" w:type="dxa"/>
              <w:left w:w="60" w:type="dxa"/>
              <w:right w:w="60" w:type="dxa"/>
            </w:tcMar>
          </w:tcPr>
          <w:p>
            <w:r>
              <w:rPr>
                <w:sz w:val="15"/>
              </w:rPr>
              <w:t>Note de service portant composition multidisciplinaire et renouvellement de l’EOPCI</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1.1.5. Nommer l’équipe des formateurs internes en PCI du CHUMEL</w:t>
            </w:r>
          </w:p>
        </w:tc>
        <w:tc>
          <w:tcPr>
            <w:tcW w:type="dxa" w:w="1296"/>
            <w:tcMar>
              <w:top w:w="60" w:type="dxa"/>
              <w:bottom w:w="60" w:type="dxa"/>
              <w:left w:w="40" w:type="dxa"/>
              <w:right w:w="40" w:type="dxa"/>
            </w:tcMar>
          </w:tcPr>
          <w:p>
            <w:pPr>
              <w:jc w:val="center"/>
            </w:pPr>
            <w:r>
              <w:rPr>
                <w:sz w:val="15"/>
              </w:rPr>
              <w:t>DG / Point focal</w:t>
            </w:r>
          </w:p>
        </w:tc>
        <w:tc>
          <w:tcPr>
            <w:tcW w:type="dxa" w:w="1296"/>
            <w:tcMar>
              <w:top w:w="60" w:type="dxa"/>
              <w:bottom w:w="60" w:type="dxa"/>
              <w:left w:w="40" w:type="dxa"/>
              <w:right w:w="40" w:type="dxa"/>
            </w:tcMar>
          </w:tcPr>
          <w:p>
            <w:pPr>
              <w:jc w:val="center"/>
            </w:pPr>
            <w:r>
              <w:rPr>
                <w:sz w:val="15"/>
              </w:rPr>
              <w:t>Décembre 2026</w:t>
            </w:r>
          </w:p>
        </w:tc>
        <w:tc>
          <w:tcPr>
            <w:tcW w:type="dxa" w:w="2016"/>
            <w:tcMar>
              <w:top w:w="60" w:type="dxa"/>
              <w:bottom w:w="60" w:type="dxa"/>
              <w:left w:w="60" w:type="dxa"/>
              <w:right w:w="60" w:type="dxa"/>
            </w:tcMar>
          </w:tcPr>
          <w:p>
            <w:r>
              <w:rPr>
                <w:sz w:val="15"/>
              </w:rPr>
              <w:t>Pool de formateurs internes non formalisé</w:t>
            </w:r>
          </w:p>
        </w:tc>
        <w:tc>
          <w:tcPr>
            <w:tcW w:type="dxa" w:w="2160"/>
            <w:tcMar>
              <w:top w:w="60" w:type="dxa"/>
              <w:bottom w:w="60" w:type="dxa"/>
              <w:left w:w="60" w:type="dxa"/>
              <w:right w:w="60" w:type="dxa"/>
            </w:tcMar>
          </w:tcPr>
          <w:p>
            <w:r>
              <w:rPr>
                <w:sz w:val="15"/>
              </w:rPr>
              <w:t>Note de service désignant formellement 8 formateurs internes pluridisciplinaires</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1.1.6. Nommer les points focaux IAS-PCI dans les services médico-techniques (binôme soignant et agent d'entretien)</w:t>
            </w:r>
          </w:p>
        </w:tc>
        <w:tc>
          <w:tcPr>
            <w:tcW w:type="dxa" w:w="1296"/>
            <w:tcMar>
              <w:top w:w="60" w:type="dxa"/>
              <w:bottom w:w="60" w:type="dxa"/>
              <w:left w:w="40" w:type="dxa"/>
              <w:right w:w="40" w:type="dxa"/>
            </w:tcMar>
          </w:tcPr>
          <w:p>
            <w:pPr>
              <w:jc w:val="center"/>
            </w:pPr>
            <w:r>
              <w:rPr>
                <w:sz w:val="15"/>
              </w:rPr>
              <w:t>EOPCI / DG</w:t>
            </w:r>
          </w:p>
        </w:tc>
        <w:tc>
          <w:tcPr>
            <w:tcW w:type="dxa" w:w="1296"/>
            <w:tcMar>
              <w:top w:w="60" w:type="dxa"/>
              <w:bottom w:w="60" w:type="dxa"/>
              <w:left w:w="40" w:type="dxa"/>
              <w:right w:w="40" w:type="dxa"/>
            </w:tcMar>
          </w:tcPr>
          <w:p>
            <w:pPr>
              <w:jc w:val="center"/>
            </w:pPr>
            <w:r>
              <w:rPr>
                <w:sz w:val="15"/>
              </w:rPr>
              <w:t>Novembre 2026 - Janvier 2027</w:t>
            </w:r>
          </w:p>
        </w:tc>
        <w:tc>
          <w:tcPr>
            <w:tcW w:type="dxa" w:w="2016"/>
            <w:tcMar>
              <w:top w:w="60" w:type="dxa"/>
              <w:bottom w:w="60" w:type="dxa"/>
              <w:left w:w="60" w:type="dxa"/>
              <w:right w:w="60" w:type="dxa"/>
            </w:tcMar>
          </w:tcPr>
          <w:p>
            <w:r>
              <w:rPr>
                <w:sz w:val="15"/>
              </w:rPr>
              <w:t>Absence de réseau formalisé de relais de terrain</w:t>
            </w:r>
          </w:p>
        </w:tc>
        <w:tc>
          <w:tcPr>
            <w:tcW w:type="dxa" w:w="2160"/>
            <w:tcMar>
              <w:top w:w="60" w:type="dxa"/>
              <w:bottom w:w="60" w:type="dxa"/>
              <w:left w:w="60" w:type="dxa"/>
              <w:right w:w="60" w:type="dxa"/>
            </w:tcMar>
          </w:tcPr>
          <w:p>
            <w:r>
              <w:rPr>
                <w:sz w:val="15"/>
              </w:rPr>
              <w:t>24 points focaux nommés par note de service, dotés d'une lettre de mission et opérationnels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1.1.7. Solliciter une expertise externe pour accompagner la PCI</w:t>
            </w:r>
          </w:p>
        </w:tc>
        <w:tc>
          <w:tcPr>
            <w:tcW w:type="dxa" w:w="1296"/>
            <w:tcMar>
              <w:top w:w="60" w:type="dxa"/>
              <w:bottom w:w="60" w:type="dxa"/>
              <w:left w:w="40" w:type="dxa"/>
              <w:right w:w="40" w:type="dxa"/>
            </w:tcMar>
          </w:tcPr>
          <w:p>
            <w:pPr>
              <w:jc w:val="center"/>
            </w:pPr>
            <w:r>
              <w:rPr>
                <w:sz w:val="15"/>
              </w:rPr>
              <w:t>DG / Point focal PCI</w:t>
            </w:r>
          </w:p>
        </w:tc>
        <w:tc>
          <w:tcPr>
            <w:tcW w:type="dxa" w:w="1296"/>
            <w:tcMar>
              <w:top w:w="60" w:type="dxa"/>
              <w:bottom w:w="60" w:type="dxa"/>
              <w:left w:w="40" w:type="dxa"/>
              <w:right w:w="40" w:type="dxa"/>
            </w:tcMar>
          </w:tcPr>
          <w:p>
            <w:pPr>
              <w:jc w:val="center"/>
            </w:pPr>
            <w:r>
              <w:rPr>
                <w:sz w:val="15"/>
              </w:rPr>
              <w:t>Décembre 2026 - Février 2027</w:t>
            </w:r>
          </w:p>
        </w:tc>
        <w:tc>
          <w:tcPr>
            <w:tcW w:type="dxa" w:w="2016"/>
            <w:tcMar>
              <w:top w:w="60" w:type="dxa"/>
              <w:bottom w:w="60" w:type="dxa"/>
              <w:left w:w="60" w:type="dxa"/>
              <w:right w:w="60" w:type="dxa"/>
            </w:tcMar>
          </w:tcPr>
          <w:p>
            <w:r>
              <w:rPr>
                <w:sz w:val="15"/>
              </w:rPr>
              <w:t>Absence d'accompagnement externe formalisé</w:t>
            </w:r>
          </w:p>
        </w:tc>
        <w:tc>
          <w:tcPr>
            <w:tcW w:type="dxa" w:w="2160"/>
            <w:tcMar>
              <w:top w:w="60" w:type="dxa"/>
              <w:bottom w:w="60" w:type="dxa"/>
              <w:left w:w="60" w:type="dxa"/>
              <w:right w:w="60" w:type="dxa"/>
            </w:tcMar>
          </w:tcPr>
          <w:p>
            <w:r>
              <w:rPr>
                <w:sz w:val="15"/>
              </w:rPr>
              <w:t>Expert externe mobilisé (OMS/Ministère/Société savante) et rapport d'appui technique produit</w:t>
            </w:r>
          </w:p>
        </w:tc>
        <w:tc>
          <w:tcPr>
            <w:tcW w:type="dxa" w:w="1152"/>
            <w:tcMar>
              <w:top w:w="60" w:type="dxa"/>
              <w:bottom w:w="60" w:type="dxa"/>
              <w:left w:w="40" w:type="dxa"/>
              <w:right w:w="40" w:type="dxa"/>
            </w:tcMar>
          </w:tcPr>
          <w:p>
            <w:pPr>
              <w:jc w:val="center"/>
            </w:pPr>
            <w:r>
              <w:rPr>
                <w:b/>
                <w:sz w:val="15"/>
              </w:rPr>
              <w:t>FP / PTF</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1.2. Renforcement de la structure fonctionnelle de la PCI (gouvernance)</w:t>
            </w:r>
          </w:p>
        </w:tc>
        <w:tc>
          <w:tcPr>
            <w:tcW w:type="dxa" w:w="3888"/>
            <w:tcMar>
              <w:top w:w="60" w:type="dxa"/>
              <w:bottom w:w="60" w:type="dxa"/>
              <w:left w:w="60" w:type="dxa"/>
              <w:right w:w="60" w:type="dxa"/>
            </w:tcMar>
          </w:tcPr>
          <w:p>
            <w:r>
              <w:rPr>
                <w:sz w:val="16"/>
              </w:rPr>
              <w:t>1.2.1. Organiser les réunions hebdomadaires de l’équipe opérationnelle PCI (EOPCI)</w:t>
            </w:r>
          </w:p>
        </w:tc>
        <w:tc>
          <w:tcPr>
            <w:tcW w:type="dxa" w:w="1296"/>
            <w:tcMar>
              <w:top w:w="60" w:type="dxa"/>
              <w:bottom w:w="60" w:type="dxa"/>
              <w:left w:w="40" w:type="dxa"/>
              <w:right w:w="40" w:type="dxa"/>
            </w:tcMar>
          </w:tcPr>
          <w:p>
            <w:pPr>
              <w:jc w:val="center"/>
            </w:pPr>
            <w:r>
              <w:rPr>
                <w:sz w:val="15"/>
              </w:rPr>
              <w:t>Point focal / EOPCI</w:t>
            </w:r>
          </w:p>
        </w:tc>
        <w:tc>
          <w:tcPr>
            <w:tcW w:type="dxa" w:w="1296"/>
            <w:tcMar>
              <w:top w:w="60" w:type="dxa"/>
              <w:bottom w:w="60" w:type="dxa"/>
              <w:left w:w="40" w:type="dxa"/>
              <w:right w:w="40" w:type="dxa"/>
            </w:tcMar>
          </w:tcPr>
          <w:p>
            <w:pPr>
              <w:jc w:val="center"/>
            </w:pPr>
            <w:r>
              <w:rPr>
                <w:sz w:val="15"/>
              </w:rPr>
              <w:t>Hebdomadaire (Oct. 2026 - Sept. 2027)</w:t>
            </w:r>
          </w:p>
        </w:tc>
        <w:tc>
          <w:tcPr>
            <w:tcW w:type="dxa" w:w="2016"/>
            <w:tcMar>
              <w:top w:w="60" w:type="dxa"/>
              <w:bottom w:w="60" w:type="dxa"/>
              <w:left w:w="60" w:type="dxa"/>
              <w:right w:w="60" w:type="dxa"/>
            </w:tcMar>
          </w:tcPr>
          <w:p>
            <w:r>
              <w:rPr>
                <w:sz w:val="15"/>
              </w:rPr>
              <w:t>Réunions d'équipe irrégulières</w:t>
            </w:r>
          </w:p>
        </w:tc>
        <w:tc>
          <w:tcPr>
            <w:tcW w:type="dxa" w:w="2160"/>
            <w:tcMar>
              <w:top w:w="60" w:type="dxa"/>
              <w:bottom w:w="60" w:type="dxa"/>
              <w:left w:w="60" w:type="dxa"/>
              <w:right w:w="60" w:type="dxa"/>
            </w:tcMar>
          </w:tcPr>
          <w:p>
            <w:r>
              <w:rPr>
                <w:sz w:val="15"/>
              </w:rPr>
              <w:t>48 à 52 comptes-rendus de réunion hebdomadaire archivés</w:t>
            </w:r>
          </w:p>
        </w:tc>
        <w:tc>
          <w:tcPr>
            <w:tcW w:type="dxa" w:w="1152"/>
            <w:tcMar>
              <w:top w:w="60" w:type="dxa"/>
              <w:bottom w:w="60" w:type="dxa"/>
              <w:left w:w="40" w:type="dxa"/>
              <w:right w:w="40" w:type="dxa"/>
            </w:tcMar>
          </w:tcPr>
          <w:p>
            <w:pPr>
              <w:jc w:val="center"/>
            </w:pPr>
            <w:r>
              <w:rPr>
                <w:b/>
                <w:sz w:val="15"/>
              </w:rPr>
              <w:t>FP / 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1.2.2. Organiser les réunions trimestrielles statutaires du Comité de Lutte contre les Infections Nosocomiales (CLIN) :</w:t>
              <w:br/>
              <w:t>- Présentation des bilans trimestriels et des tableaux de bord</w:t>
              <w:br/>
              <w:t>- Examen des rapports d'audit et de surveillance microbiologique</w:t>
              <w:br/>
              <w:t>- Prise de décisions stratégiques et ajustement du plan d'action</w:t>
            </w:r>
          </w:p>
        </w:tc>
        <w:tc>
          <w:tcPr>
            <w:tcW w:type="dxa" w:w="1296"/>
            <w:tcMar>
              <w:top w:w="60" w:type="dxa"/>
              <w:bottom w:w="60" w:type="dxa"/>
              <w:left w:w="40" w:type="dxa"/>
              <w:right w:w="40" w:type="dxa"/>
            </w:tcMar>
          </w:tcPr>
          <w:p>
            <w:pPr>
              <w:jc w:val="center"/>
            </w:pPr>
            <w:r>
              <w:rPr>
                <w:sz w:val="15"/>
              </w:rPr>
              <w:t>Président CLIN / Point focal / DG</w:t>
            </w:r>
          </w:p>
        </w:tc>
        <w:tc>
          <w:tcPr>
            <w:tcW w:type="dxa" w:w="1296"/>
            <w:tcMar>
              <w:top w:w="60" w:type="dxa"/>
              <w:bottom w:w="60" w:type="dxa"/>
              <w:left w:w="40" w:type="dxa"/>
              <w:right w:w="40" w:type="dxa"/>
            </w:tcMar>
          </w:tcPr>
          <w:p>
            <w:pPr>
              <w:jc w:val="center"/>
            </w:pPr>
            <w:r>
              <w:rPr>
                <w:sz w:val="15"/>
              </w:rPr>
              <w:t>Trimestriel (Déc. 2026, Mars, Juin, Sept. 2027)</w:t>
            </w:r>
          </w:p>
        </w:tc>
        <w:tc>
          <w:tcPr>
            <w:tcW w:type="dxa" w:w="2016"/>
            <w:tcMar>
              <w:top w:w="60" w:type="dxa"/>
              <w:bottom w:w="60" w:type="dxa"/>
              <w:left w:w="60" w:type="dxa"/>
              <w:right w:w="60" w:type="dxa"/>
            </w:tcMar>
          </w:tcPr>
          <w:p>
            <w:r>
              <w:rPr>
                <w:sz w:val="15"/>
              </w:rPr>
              <w:t>CLIN réuni de façon discontinue (1 à 2 fois par an)</w:t>
            </w:r>
          </w:p>
        </w:tc>
        <w:tc>
          <w:tcPr>
            <w:tcW w:type="dxa" w:w="2160"/>
            <w:tcMar>
              <w:top w:w="60" w:type="dxa"/>
              <w:bottom w:w="60" w:type="dxa"/>
              <w:left w:w="60" w:type="dxa"/>
              <w:right w:w="60" w:type="dxa"/>
            </w:tcMar>
          </w:tcPr>
          <w:p>
            <w:r>
              <w:rPr>
                <w:sz w:val="15"/>
              </w:rPr>
              <w:t>4 sessions statutaires du CLIN tenues avec procès-verbaux et relevés de décisions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1.2.3. Assurer le suivi rapproché de la mise en œuvre des décisions du CLIN et des recommandations d'audit</w:t>
            </w:r>
          </w:p>
        </w:tc>
        <w:tc>
          <w:tcPr>
            <w:tcW w:type="dxa" w:w="1296"/>
            <w:tcMar>
              <w:top w:w="60" w:type="dxa"/>
              <w:bottom w:w="60" w:type="dxa"/>
              <w:left w:w="40" w:type="dxa"/>
              <w:right w:w="40" w:type="dxa"/>
            </w:tcMar>
          </w:tcPr>
          <w:p>
            <w:pPr>
              <w:jc w:val="center"/>
            </w:pPr>
            <w:r>
              <w:rPr>
                <w:sz w:val="15"/>
              </w:rPr>
              <w:t>EOPCI / DAF / DG</w:t>
            </w:r>
          </w:p>
        </w:tc>
        <w:tc>
          <w:tcPr>
            <w:tcW w:type="dxa" w:w="1296"/>
            <w:tcMar>
              <w:top w:w="60" w:type="dxa"/>
              <w:bottom w:w="60" w:type="dxa"/>
              <w:left w:w="40" w:type="dxa"/>
              <w:right w:w="40" w:type="dxa"/>
            </w:tcMar>
          </w:tcPr>
          <w:p>
            <w:pPr>
              <w:jc w:val="center"/>
            </w:pPr>
            <w:r>
              <w:rPr>
                <w:sz w:val="15"/>
              </w:rPr>
              <w:t>Continu</w:t>
            </w:r>
          </w:p>
        </w:tc>
        <w:tc>
          <w:tcPr>
            <w:tcW w:type="dxa" w:w="2016"/>
            <w:tcMar>
              <w:top w:w="60" w:type="dxa"/>
              <w:bottom w:w="60" w:type="dxa"/>
              <w:left w:w="60" w:type="dxa"/>
              <w:right w:w="60" w:type="dxa"/>
            </w:tcMar>
          </w:tcPr>
          <w:p>
            <w:r>
              <w:rPr>
                <w:sz w:val="15"/>
              </w:rPr>
              <w:t>Faible traçabilité et application des résolutions antérieures</w:t>
            </w:r>
          </w:p>
        </w:tc>
        <w:tc>
          <w:tcPr>
            <w:tcW w:type="dxa" w:w="2160"/>
            <w:tcMar>
              <w:top w:w="60" w:type="dxa"/>
              <w:bottom w:w="60" w:type="dxa"/>
              <w:left w:w="60" w:type="dxa"/>
              <w:right w:w="60" w:type="dxa"/>
            </w:tcMar>
          </w:tcPr>
          <w:p>
            <w:r>
              <w:rPr>
                <w:sz w:val="15"/>
              </w:rPr>
              <w:t>Tableau de bord de mise en œuvre des recommandations actualisé chaque trimestre</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1.3. Élaboration, validation, approbation et dissémination du PTA budgétisé</w:t>
            </w:r>
          </w:p>
        </w:tc>
        <w:tc>
          <w:tcPr>
            <w:tcW w:type="dxa" w:w="3888"/>
            <w:tcMar>
              <w:top w:w="60" w:type="dxa"/>
              <w:bottom w:w="60" w:type="dxa"/>
              <w:left w:w="60" w:type="dxa"/>
              <w:right w:w="60" w:type="dxa"/>
            </w:tcMar>
          </w:tcPr>
          <w:p>
            <w:r>
              <w:rPr>
                <w:sz w:val="16"/>
              </w:rPr>
              <w:t>1.3.1. Élaborer le Plan de Travail Annuel (PTA) et le budget prévisionnel PCI/CLIN 2026-2027</w:t>
            </w:r>
          </w:p>
        </w:tc>
        <w:tc>
          <w:tcPr>
            <w:tcW w:type="dxa" w:w="1296"/>
            <w:tcMar>
              <w:top w:w="60" w:type="dxa"/>
              <w:bottom w:w="60" w:type="dxa"/>
              <w:left w:w="40" w:type="dxa"/>
              <w:right w:w="40" w:type="dxa"/>
            </w:tcMar>
          </w:tcPr>
          <w:p>
            <w:pPr>
              <w:jc w:val="center"/>
            </w:pPr>
            <w:r>
              <w:rPr>
                <w:sz w:val="15"/>
              </w:rPr>
              <w:t>Point focal / EOPCI</w:t>
            </w:r>
          </w:p>
        </w:tc>
        <w:tc>
          <w:tcPr>
            <w:tcW w:type="dxa" w:w="1296"/>
            <w:tcMar>
              <w:top w:w="60" w:type="dxa"/>
              <w:bottom w:w="60" w:type="dxa"/>
              <w:left w:w="40" w:type="dxa"/>
              <w:right w:w="40" w:type="dxa"/>
            </w:tcMar>
          </w:tcPr>
          <w:p>
            <w:pPr>
              <w:jc w:val="center"/>
            </w:pPr>
            <w:r>
              <w:rPr>
                <w:sz w:val="15"/>
              </w:rPr>
              <w:t>Octobre 2026</w:t>
            </w:r>
          </w:p>
        </w:tc>
        <w:tc>
          <w:tcPr>
            <w:tcW w:type="dxa" w:w="2016"/>
            <w:tcMar>
              <w:top w:w="60" w:type="dxa"/>
              <w:bottom w:w="60" w:type="dxa"/>
              <w:left w:w="60" w:type="dxa"/>
              <w:right w:w="60" w:type="dxa"/>
            </w:tcMar>
          </w:tcPr>
          <w:p>
            <w:r>
              <w:rPr>
                <w:sz w:val="15"/>
              </w:rPr>
              <w:t>Plan d'action antérieur expiré</w:t>
            </w:r>
          </w:p>
        </w:tc>
        <w:tc>
          <w:tcPr>
            <w:tcW w:type="dxa" w:w="2160"/>
            <w:tcMar>
              <w:top w:w="60" w:type="dxa"/>
              <w:bottom w:w="60" w:type="dxa"/>
              <w:left w:w="60" w:type="dxa"/>
              <w:right w:w="60" w:type="dxa"/>
            </w:tcMar>
          </w:tcPr>
          <w:p>
            <w:r>
              <w:rPr>
                <w:sz w:val="15"/>
              </w:rPr>
              <w:t>Document complet du PTA et budget PCI 2026-2027 finalisé</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1.3.2. Organiser l'atelier de validation institutionnelle du PTA et du budget PCI/CLIN avec les parties prenantes</w:t>
            </w:r>
          </w:p>
        </w:tc>
        <w:tc>
          <w:tcPr>
            <w:tcW w:type="dxa" w:w="1296"/>
            <w:tcMar>
              <w:top w:w="60" w:type="dxa"/>
              <w:bottom w:w="60" w:type="dxa"/>
              <w:left w:w="40" w:type="dxa"/>
              <w:right w:w="40" w:type="dxa"/>
            </w:tcMar>
          </w:tcPr>
          <w:p>
            <w:pPr>
              <w:jc w:val="center"/>
            </w:pPr>
            <w:r>
              <w:rPr>
                <w:sz w:val="15"/>
              </w:rPr>
              <w:t>DG / CLIN / Point focal</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Projet de PTA non encore validé</w:t>
            </w:r>
          </w:p>
        </w:tc>
        <w:tc>
          <w:tcPr>
            <w:tcW w:type="dxa" w:w="2160"/>
            <w:tcMar>
              <w:top w:w="60" w:type="dxa"/>
              <w:bottom w:w="60" w:type="dxa"/>
              <w:left w:w="60" w:type="dxa"/>
              <w:right w:w="60" w:type="dxa"/>
            </w:tcMar>
          </w:tcPr>
          <w:p>
            <w:r>
              <w:rPr>
                <w:sz w:val="15"/>
              </w:rPr>
              <w:t>Rapport d'atelier de validation et document de PTA budgétisé validé par consensus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1.3.3. Approuver officiellement le plan élaboré selon les exigences de l'OMS par la Direction Générale</w:t>
            </w:r>
          </w:p>
        </w:tc>
        <w:tc>
          <w:tcPr>
            <w:tcW w:type="dxa" w:w="1296"/>
            <w:tcMar>
              <w:top w:w="60" w:type="dxa"/>
              <w:bottom w:w="60" w:type="dxa"/>
              <w:left w:w="40" w:type="dxa"/>
              <w:right w:w="40" w:type="dxa"/>
            </w:tcMar>
          </w:tcPr>
          <w:p>
            <w:pPr>
              <w:jc w:val="center"/>
            </w:pPr>
            <w:r>
              <w:rPr>
                <w:sz w:val="15"/>
              </w:rPr>
              <w:t>DG</w:t>
            </w:r>
          </w:p>
        </w:tc>
        <w:tc>
          <w:tcPr>
            <w:tcW w:type="dxa" w:w="1296"/>
            <w:tcMar>
              <w:top w:w="60" w:type="dxa"/>
              <w:bottom w:w="60" w:type="dxa"/>
              <w:left w:w="40" w:type="dxa"/>
              <w:right w:w="40" w:type="dxa"/>
            </w:tcMar>
          </w:tcPr>
          <w:p>
            <w:pPr>
              <w:jc w:val="center"/>
            </w:pPr>
            <w:r>
              <w:rPr>
                <w:sz w:val="15"/>
              </w:rPr>
              <w:t>Décembre 2026</w:t>
            </w:r>
          </w:p>
        </w:tc>
        <w:tc>
          <w:tcPr>
            <w:tcW w:type="dxa" w:w="2016"/>
            <w:tcMar>
              <w:top w:w="60" w:type="dxa"/>
              <w:bottom w:w="60" w:type="dxa"/>
              <w:left w:w="60" w:type="dxa"/>
              <w:right w:w="60" w:type="dxa"/>
            </w:tcMar>
          </w:tcPr>
          <w:p>
            <w:r>
              <w:rPr>
                <w:sz w:val="15"/>
              </w:rPr>
              <w:t>PTA validé en attente d'approbation hiérarchique</w:t>
            </w:r>
          </w:p>
        </w:tc>
        <w:tc>
          <w:tcPr>
            <w:tcW w:type="dxa" w:w="2160"/>
            <w:tcMar>
              <w:top w:w="60" w:type="dxa"/>
              <w:bottom w:w="60" w:type="dxa"/>
              <w:left w:w="60" w:type="dxa"/>
              <w:right w:w="60" w:type="dxa"/>
            </w:tcMar>
          </w:tcPr>
          <w:p>
            <w:r>
              <w:rPr>
                <w:sz w:val="15"/>
              </w:rPr>
              <w:t>PTA officiellement revêtu du visa d'approbation de la DG</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1.3.4. Disséminer et vulgariser le PTA PCI auprès de l'ensemble des départements et services de soins :</w:t>
              <w:br/>
              <w:t>- Multiplier et relier les exemplaires du PTA approuvé</w:t>
              <w:br/>
              <w:t>- Transmettre officiellement aux chefs de pôles et surveillants</w:t>
            </w:r>
          </w:p>
        </w:tc>
        <w:tc>
          <w:tcPr>
            <w:tcW w:type="dxa" w:w="1296"/>
            <w:tcMar>
              <w:top w:w="60" w:type="dxa"/>
              <w:bottom w:w="60" w:type="dxa"/>
              <w:left w:w="40" w:type="dxa"/>
              <w:right w:w="40" w:type="dxa"/>
            </w:tcMar>
          </w:tcPr>
          <w:p>
            <w:pPr>
              <w:jc w:val="center"/>
            </w:pPr>
            <w:r>
              <w:rPr>
                <w:sz w:val="15"/>
              </w:rPr>
              <w:t>Point focal / EOPCI</w:t>
            </w:r>
          </w:p>
        </w:tc>
        <w:tc>
          <w:tcPr>
            <w:tcW w:type="dxa" w:w="1296"/>
            <w:tcMar>
              <w:top w:w="60" w:type="dxa"/>
              <w:bottom w:w="60" w:type="dxa"/>
              <w:left w:w="40" w:type="dxa"/>
              <w:right w:w="40" w:type="dxa"/>
            </w:tcMar>
          </w:tcPr>
          <w:p>
            <w:pPr>
              <w:jc w:val="center"/>
            </w:pPr>
            <w:r>
              <w:rPr>
                <w:sz w:val="15"/>
              </w:rPr>
              <w:t>Janvier 2027</w:t>
            </w:r>
          </w:p>
        </w:tc>
        <w:tc>
          <w:tcPr>
            <w:tcW w:type="dxa" w:w="2016"/>
            <w:tcMar>
              <w:top w:w="60" w:type="dxa"/>
              <w:bottom w:w="60" w:type="dxa"/>
              <w:left w:w="60" w:type="dxa"/>
              <w:right w:w="60" w:type="dxa"/>
            </w:tcMar>
          </w:tcPr>
          <w:p>
            <w:r>
              <w:rPr>
                <w:sz w:val="15"/>
              </w:rPr>
              <w:t>PTA non vulgarisé dans les unités de soins</w:t>
            </w:r>
          </w:p>
        </w:tc>
        <w:tc>
          <w:tcPr>
            <w:tcW w:type="dxa" w:w="2160"/>
            <w:tcMar>
              <w:top w:w="60" w:type="dxa"/>
              <w:bottom w:w="60" w:type="dxa"/>
              <w:left w:w="60" w:type="dxa"/>
              <w:right w:w="60" w:type="dxa"/>
            </w:tcMar>
          </w:tcPr>
          <w:p>
            <w:r>
              <w:rPr>
                <w:sz w:val="15"/>
              </w:rPr>
              <w:t>Bordereau de transmission et diffusion du PTA dans 100% des services hospitaliers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1.3.5. Intégrer le PTA et le budget PCI au Plan Intégré de Travail Annuel (PITA 2027) du CHUMEL</w:t>
            </w:r>
          </w:p>
        </w:tc>
        <w:tc>
          <w:tcPr>
            <w:tcW w:type="dxa" w:w="1296"/>
            <w:tcMar>
              <w:top w:w="60" w:type="dxa"/>
              <w:bottom w:w="60" w:type="dxa"/>
              <w:left w:w="40" w:type="dxa"/>
              <w:right w:w="40" w:type="dxa"/>
            </w:tcMar>
          </w:tcPr>
          <w:p>
            <w:pPr>
              <w:jc w:val="center"/>
            </w:pPr>
            <w:r>
              <w:rPr>
                <w:sz w:val="15"/>
              </w:rPr>
              <w:t>DG / DAF / Point focal</w:t>
            </w:r>
          </w:p>
        </w:tc>
        <w:tc>
          <w:tcPr>
            <w:tcW w:type="dxa" w:w="1296"/>
            <w:tcMar>
              <w:top w:w="60" w:type="dxa"/>
              <w:bottom w:w="60" w:type="dxa"/>
              <w:left w:w="40" w:type="dxa"/>
              <w:right w:w="40" w:type="dxa"/>
            </w:tcMar>
          </w:tcPr>
          <w:p>
            <w:pPr>
              <w:jc w:val="center"/>
            </w:pPr>
            <w:r>
              <w:rPr>
                <w:sz w:val="15"/>
              </w:rPr>
              <w:t>Janvier 2027</w:t>
            </w:r>
          </w:p>
        </w:tc>
        <w:tc>
          <w:tcPr>
            <w:tcW w:type="dxa" w:w="2016"/>
            <w:tcMar>
              <w:top w:w="60" w:type="dxa"/>
              <w:bottom w:w="60" w:type="dxa"/>
              <w:left w:w="60" w:type="dxa"/>
              <w:right w:w="60" w:type="dxa"/>
            </w:tcMar>
          </w:tcPr>
          <w:p>
            <w:r>
              <w:rPr>
                <w:sz w:val="15"/>
              </w:rPr>
              <w:t>Lignes budgétaires PCI non inscrites au budget hospitalier</w:t>
            </w:r>
          </w:p>
        </w:tc>
        <w:tc>
          <w:tcPr>
            <w:tcW w:type="dxa" w:w="2160"/>
            <w:tcMar>
              <w:top w:w="60" w:type="dxa"/>
              <w:bottom w:w="60" w:type="dxa"/>
              <w:left w:w="60" w:type="dxa"/>
              <w:right w:w="60" w:type="dxa"/>
            </w:tcMar>
          </w:tcPr>
          <w:p>
            <w:r>
              <w:rPr>
                <w:sz w:val="15"/>
              </w:rPr>
              <w:t>Lignes budgétaires et activités PCI inscrites et votées dans le PITA 2027 du CHUMEL</w:t>
            </w:r>
          </w:p>
        </w:tc>
        <w:tc>
          <w:tcPr>
            <w:tcW w:type="dxa" w:w="1152"/>
            <w:tcMar>
              <w:top w:w="60" w:type="dxa"/>
              <w:bottom w:w="60" w:type="dxa"/>
              <w:left w:w="40" w:type="dxa"/>
              <w:right w:w="40" w:type="dxa"/>
            </w:tcMar>
          </w:tcPr>
          <w:p>
            <w:pPr>
              <w:jc w:val="center"/>
            </w:pPr>
            <w:r>
              <w:rPr>
                <w:sz w:val="15"/>
              </w:rPr>
              <w:t>Néant</w:t>
            </w:r>
          </w:p>
        </w:tc>
      </w:tr>
      <w:tr>
        <w:trPr>
          <w:cantSplit/>
        </w:trPr>
        <w:tc>
          <w:tcPr>
            <w:tcW w:type="dxa" w:w="1872"/>
            <w:vMerge w:val="restart"/>
            <w:shd w:fill="D9E1F2"/>
            <w:tcMar>
              <w:top w:w="60" w:type="dxa"/>
              <w:bottom w:w="60" w:type="dxa"/>
              <w:left w:w="60" w:type="dxa"/>
              <w:right w:w="60" w:type="dxa"/>
            </w:tcMar>
          </w:tcPr>
          <w:p>
            <w:r>
              <w:rPr>
                <w:b/>
                <w:color w:val="1B365D"/>
                <w:sz w:val="17"/>
              </w:rPr>
              <w:t>II. LIGNES DIRECTIVES</w:t>
            </w:r>
          </w:p>
        </w:tc>
        <w:tc>
          <w:tcPr>
            <w:tcW w:type="dxa" w:w="2304"/>
            <w:vMerge w:val="restart"/>
            <w:shd w:fill="F2F2F2"/>
            <w:tcMar>
              <w:top w:w="60" w:type="dxa"/>
              <w:bottom w:w="60" w:type="dxa"/>
              <w:left w:w="60" w:type="dxa"/>
              <w:right w:w="60" w:type="dxa"/>
            </w:tcMar>
          </w:tcPr>
          <w:p>
            <w:r>
              <w:rPr>
                <w:b/>
                <w:sz w:val="15"/>
              </w:rPr>
              <w:t>2.1. Élaboration, révision et diffusion des lignes directrices et Procédures Opérationnelles Standardisées (POS)</w:t>
            </w:r>
          </w:p>
        </w:tc>
        <w:tc>
          <w:tcPr>
            <w:tcW w:type="dxa" w:w="3888"/>
            <w:tcMar>
              <w:top w:w="60" w:type="dxa"/>
              <w:bottom w:w="60" w:type="dxa"/>
              <w:left w:w="60" w:type="dxa"/>
              <w:right w:w="60" w:type="dxa"/>
            </w:tcMar>
          </w:tcPr>
          <w:p>
            <w:r>
              <w:rPr>
                <w:sz w:val="16"/>
              </w:rPr>
              <w:t>2.1.1. Réaliser la relecture des lignes directrices nationales et internationales (OMS) de PCI et les adapter au contexte du CHUMEL</w:t>
            </w:r>
          </w:p>
        </w:tc>
        <w:tc>
          <w:tcPr>
            <w:tcW w:type="dxa" w:w="1296"/>
            <w:tcMar>
              <w:top w:w="60" w:type="dxa"/>
              <w:bottom w:w="60" w:type="dxa"/>
              <w:left w:w="40" w:type="dxa"/>
              <w:right w:w="40" w:type="dxa"/>
            </w:tcMar>
          </w:tcPr>
          <w:p>
            <w:pPr>
              <w:jc w:val="center"/>
            </w:pPr>
            <w:r>
              <w:rPr>
                <w:sz w:val="15"/>
              </w:rPr>
              <w:t>EOPCI / CLIN</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Lignes directrices obsolètes ou non adaptées au contexte pédiatrique et gynéco-obstétrical</w:t>
            </w:r>
          </w:p>
        </w:tc>
        <w:tc>
          <w:tcPr>
            <w:tcW w:type="dxa" w:w="2160"/>
            <w:tcMar>
              <w:top w:w="60" w:type="dxa"/>
              <w:bottom w:w="60" w:type="dxa"/>
              <w:left w:w="60" w:type="dxa"/>
              <w:right w:w="60" w:type="dxa"/>
            </w:tcMar>
          </w:tcPr>
          <w:p>
            <w:r>
              <w:rPr>
                <w:sz w:val="15"/>
              </w:rPr>
              <w:t>Rapport d'analyse et guide des lignes directrices hospitalières actualisé</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2.1.2. Élaborer, réviser et standardiser le corpus des Procédures Opérationnelles Standardisées (POS) prioritaires :</w:t>
              <w:br/>
              <w:t>1- POS Bionettoyage des locaux, blocs opératoires et néonatologie</w:t>
              <w:br/>
              <w:t>2- POS Cathétérisme veineux périphérique et central</w:t>
              <w:br/>
              <w:t>3- POS Sondage vésical à demeure et soins de sonde</w:t>
              <w:br/>
              <w:t>4- POS Hygiène des mains (lavage simple, hygiénique et friction)</w:t>
              <w:br/>
              <w:t>5- POS Tri, collecte et stockage des Déchets Biomédicaux (DBM)</w:t>
              <w:br/>
              <w:t>6- POS Conduite à tenir en cas d'Accident d'Exposition au Sang (AES)</w:t>
              <w:br/>
              <w:t>7- POS Préparation et contrôle des antiseptiques et désinfectants</w:t>
            </w:r>
          </w:p>
        </w:tc>
        <w:tc>
          <w:tcPr>
            <w:tcW w:type="dxa" w:w="1296"/>
            <w:tcMar>
              <w:top w:w="60" w:type="dxa"/>
              <w:bottom w:w="60" w:type="dxa"/>
              <w:left w:w="40" w:type="dxa"/>
              <w:right w:w="40" w:type="dxa"/>
            </w:tcMar>
          </w:tcPr>
          <w:p>
            <w:pPr>
              <w:jc w:val="center"/>
            </w:pPr>
            <w:r>
              <w:rPr>
                <w:sz w:val="15"/>
              </w:rPr>
              <w:t>EOPCI / Comité de rédaction (8 experts)</w:t>
            </w:r>
          </w:p>
        </w:tc>
        <w:tc>
          <w:tcPr>
            <w:tcW w:type="dxa" w:w="1296"/>
            <w:tcMar>
              <w:top w:w="60" w:type="dxa"/>
              <w:bottom w:w="60" w:type="dxa"/>
              <w:left w:w="40" w:type="dxa"/>
              <w:right w:w="40" w:type="dxa"/>
            </w:tcMar>
          </w:tcPr>
          <w:p>
            <w:pPr>
              <w:jc w:val="center"/>
            </w:pPr>
            <w:r>
              <w:rPr>
                <w:sz w:val="15"/>
              </w:rPr>
              <w:t>Décembre 2026 - Janvier 2027</w:t>
            </w:r>
          </w:p>
        </w:tc>
        <w:tc>
          <w:tcPr>
            <w:tcW w:type="dxa" w:w="2016"/>
            <w:tcMar>
              <w:top w:w="60" w:type="dxa"/>
              <w:bottom w:w="60" w:type="dxa"/>
              <w:left w:w="60" w:type="dxa"/>
              <w:right w:w="60" w:type="dxa"/>
            </w:tcMar>
          </w:tcPr>
          <w:p>
            <w:r>
              <w:rPr>
                <w:sz w:val="15"/>
              </w:rPr>
              <w:t>POS parcellaires, non harmonisées et non signées</w:t>
            </w:r>
          </w:p>
        </w:tc>
        <w:tc>
          <w:tcPr>
            <w:tcW w:type="dxa" w:w="2160"/>
            <w:tcMar>
              <w:top w:w="60" w:type="dxa"/>
              <w:bottom w:w="60" w:type="dxa"/>
              <w:left w:w="60" w:type="dxa"/>
              <w:right w:w="60" w:type="dxa"/>
            </w:tcMar>
          </w:tcPr>
          <w:p>
            <w:r>
              <w:rPr>
                <w:sz w:val="15"/>
              </w:rPr>
              <w:t>Recueil validé de 10 POS prioritaires rédigé selon le standard OMS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2.1.3. Organiser une séance statutaire de validation technique des POS élaborées par le CLIN et la direction</w:t>
            </w:r>
          </w:p>
        </w:tc>
        <w:tc>
          <w:tcPr>
            <w:tcW w:type="dxa" w:w="1296"/>
            <w:tcMar>
              <w:top w:w="60" w:type="dxa"/>
              <w:bottom w:w="60" w:type="dxa"/>
              <w:left w:w="40" w:type="dxa"/>
              <w:right w:w="40" w:type="dxa"/>
            </w:tcMar>
          </w:tcPr>
          <w:p>
            <w:pPr>
              <w:jc w:val="center"/>
            </w:pPr>
            <w:r>
              <w:rPr>
                <w:sz w:val="15"/>
              </w:rPr>
              <w:t>CLIN / DG</w:t>
            </w:r>
          </w:p>
        </w:tc>
        <w:tc>
          <w:tcPr>
            <w:tcW w:type="dxa" w:w="1296"/>
            <w:tcMar>
              <w:top w:w="60" w:type="dxa"/>
              <w:bottom w:w="60" w:type="dxa"/>
              <w:left w:w="40" w:type="dxa"/>
              <w:right w:w="40" w:type="dxa"/>
            </w:tcMar>
          </w:tcPr>
          <w:p>
            <w:pPr>
              <w:jc w:val="center"/>
            </w:pPr>
            <w:r>
              <w:rPr>
                <w:sz w:val="15"/>
              </w:rPr>
              <w:t>Février 2027</w:t>
            </w:r>
          </w:p>
        </w:tc>
        <w:tc>
          <w:tcPr>
            <w:tcW w:type="dxa" w:w="2016"/>
            <w:tcMar>
              <w:top w:w="60" w:type="dxa"/>
              <w:bottom w:w="60" w:type="dxa"/>
              <w:left w:w="60" w:type="dxa"/>
              <w:right w:w="60" w:type="dxa"/>
            </w:tcMar>
          </w:tcPr>
          <w:p>
            <w:r>
              <w:rPr>
                <w:sz w:val="15"/>
              </w:rPr>
              <w:t>Projets de POS en attente de validation</w:t>
            </w:r>
          </w:p>
        </w:tc>
        <w:tc>
          <w:tcPr>
            <w:tcW w:type="dxa" w:w="2160"/>
            <w:tcMar>
              <w:top w:w="60" w:type="dxa"/>
              <w:bottom w:w="60" w:type="dxa"/>
              <w:left w:w="60" w:type="dxa"/>
              <w:right w:w="60" w:type="dxa"/>
            </w:tcMar>
          </w:tcPr>
          <w:p>
            <w:r>
              <w:rPr>
                <w:sz w:val="15"/>
              </w:rPr>
              <w:t>Procès-verbal de validation technique et décision d'application obligatoire signée par la DG</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2.1.4. Mettre à disposition, reproduire et plastifier les classeurs de POS et fiches réflexes dans l'ensemble des services de soins</w:t>
            </w:r>
          </w:p>
        </w:tc>
        <w:tc>
          <w:tcPr>
            <w:tcW w:type="dxa" w:w="1296"/>
            <w:tcMar>
              <w:top w:w="60" w:type="dxa"/>
              <w:bottom w:w="60" w:type="dxa"/>
              <w:left w:w="40" w:type="dxa"/>
              <w:right w:w="40" w:type="dxa"/>
            </w:tcMar>
          </w:tcPr>
          <w:p>
            <w:pPr>
              <w:jc w:val="center"/>
            </w:pPr>
            <w:r>
              <w:rPr>
                <w:sz w:val="15"/>
              </w:rPr>
              <w:t>EOPCI / Économat</w:t>
            </w:r>
          </w:p>
        </w:tc>
        <w:tc>
          <w:tcPr>
            <w:tcW w:type="dxa" w:w="1296"/>
            <w:tcMar>
              <w:top w:w="60" w:type="dxa"/>
              <w:bottom w:w="60" w:type="dxa"/>
              <w:left w:w="40" w:type="dxa"/>
              <w:right w:w="40" w:type="dxa"/>
            </w:tcMar>
          </w:tcPr>
          <w:p>
            <w:pPr>
              <w:jc w:val="center"/>
            </w:pPr>
            <w:r>
              <w:rPr>
                <w:sz w:val="15"/>
              </w:rPr>
              <w:t>Mars 2027</w:t>
            </w:r>
          </w:p>
        </w:tc>
        <w:tc>
          <w:tcPr>
            <w:tcW w:type="dxa" w:w="2016"/>
            <w:tcMar>
              <w:top w:w="60" w:type="dxa"/>
              <w:bottom w:w="60" w:type="dxa"/>
              <w:left w:w="60" w:type="dxa"/>
              <w:right w:w="60" w:type="dxa"/>
            </w:tcMar>
          </w:tcPr>
          <w:p>
            <w:r>
              <w:rPr>
                <w:sz w:val="15"/>
              </w:rPr>
              <w:t>Absence de classeurs physiques de POS dans les postes de soins</w:t>
            </w:r>
          </w:p>
        </w:tc>
        <w:tc>
          <w:tcPr>
            <w:tcW w:type="dxa" w:w="2160"/>
            <w:tcMar>
              <w:top w:w="60" w:type="dxa"/>
              <w:bottom w:w="60" w:type="dxa"/>
              <w:left w:w="60" w:type="dxa"/>
              <w:right w:w="60" w:type="dxa"/>
            </w:tcMar>
          </w:tcPr>
          <w:p>
            <w:r>
              <w:rPr>
                <w:sz w:val="15"/>
              </w:rPr>
              <w:t>20 classeurs complets de POS plastifiés installés dans 100% des postes de soins et blocs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2.1.5. Conduire des séances de briefing et d'appropriation des POS auprès du personnel soignant des pôles</w:t>
            </w:r>
          </w:p>
        </w:tc>
        <w:tc>
          <w:tcPr>
            <w:tcW w:type="dxa" w:w="1296"/>
            <w:tcMar>
              <w:top w:w="60" w:type="dxa"/>
              <w:bottom w:w="60" w:type="dxa"/>
              <w:left w:w="40" w:type="dxa"/>
              <w:right w:w="40" w:type="dxa"/>
            </w:tcMar>
          </w:tcPr>
          <w:p>
            <w:pPr>
              <w:jc w:val="center"/>
            </w:pPr>
            <w:r>
              <w:rPr>
                <w:sz w:val="15"/>
              </w:rPr>
              <w:t>Formateurs internes / EOPCI</w:t>
            </w:r>
          </w:p>
        </w:tc>
        <w:tc>
          <w:tcPr>
            <w:tcW w:type="dxa" w:w="1296"/>
            <w:tcMar>
              <w:top w:w="60" w:type="dxa"/>
              <w:bottom w:w="60" w:type="dxa"/>
              <w:left w:w="40" w:type="dxa"/>
              <w:right w:w="40" w:type="dxa"/>
            </w:tcMar>
          </w:tcPr>
          <w:p>
            <w:pPr>
              <w:jc w:val="center"/>
            </w:pPr>
            <w:r>
              <w:rPr>
                <w:sz w:val="15"/>
              </w:rPr>
              <w:t>Mars - Avril 2027</w:t>
            </w:r>
          </w:p>
        </w:tc>
        <w:tc>
          <w:tcPr>
            <w:tcW w:type="dxa" w:w="2016"/>
            <w:tcMar>
              <w:top w:w="60" w:type="dxa"/>
              <w:bottom w:w="60" w:type="dxa"/>
              <w:left w:w="60" w:type="dxa"/>
              <w:right w:w="60" w:type="dxa"/>
            </w:tcMar>
          </w:tcPr>
          <w:p>
            <w:r>
              <w:rPr>
                <w:sz w:val="15"/>
              </w:rPr>
              <w:t>Méconnaissance des protocoles par les équipes de garde</w:t>
            </w:r>
          </w:p>
        </w:tc>
        <w:tc>
          <w:tcPr>
            <w:tcW w:type="dxa" w:w="2160"/>
            <w:tcMar>
              <w:top w:w="60" w:type="dxa"/>
              <w:bottom w:w="60" w:type="dxa"/>
              <w:left w:w="60" w:type="dxa"/>
              <w:right w:w="60" w:type="dxa"/>
            </w:tcMar>
          </w:tcPr>
          <w:p>
            <w:r>
              <w:rPr>
                <w:sz w:val="15"/>
              </w:rPr>
              <w:t>Au moins 80% des équipes soignantes briefées avec feuilles d'émargement</w:t>
            </w:r>
          </w:p>
        </w:tc>
        <w:tc>
          <w:tcPr>
            <w:tcW w:type="dxa" w:w="1152"/>
            <w:tcMar>
              <w:top w:w="60" w:type="dxa"/>
              <w:bottom w:w="60" w:type="dxa"/>
              <w:left w:w="40" w:type="dxa"/>
              <w:right w:w="40" w:type="dxa"/>
            </w:tcMar>
          </w:tcPr>
          <w:p>
            <w:pPr>
              <w:jc w:val="center"/>
            </w:pPr>
            <w:r>
              <w:rPr>
                <w:b/>
                <w:sz w:val="15"/>
              </w:rPr>
              <w:t>FP</w:t>
            </w:r>
          </w:p>
        </w:tc>
      </w:tr>
      <w:tr>
        <w:trPr>
          <w:cantSplit/>
        </w:trPr>
        <w:tc>
          <w:tcPr>
            <w:tcW w:type="dxa" w:w="1872"/>
            <w:vMerge w:val="restart"/>
            <w:shd w:fill="D9E1F2"/>
            <w:tcMar>
              <w:top w:w="60" w:type="dxa"/>
              <w:bottom w:w="60" w:type="dxa"/>
              <w:left w:w="60" w:type="dxa"/>
              <w:right w:w="60" w:type="dxa"/>
            </w:tcMar>
          </w:tcPr>
          <w:p>
            <w:r>
              <w:rPr>
                <w:b/>
                <w:color w:val="1B365D"/>
                <w:sz w:val="17"/>
              </w:rPr>
              <w:t>III. FORMATION ET ÉDUCATION EN PCI</w:t>
            </w:r>
          </w:p>
        </w:tc>
        <w:tc>
          <w:tcPr>
            <w:tcW w:type="dxa" w:w="2304"/>
            <w:vMerge w:val="restart"/>
            <w:shd w:fill="F2F2F2"/>
            <w:tcMar>
              <w:top w:w="60" w:type="dxa"/>
              <w:bottom w:w="60" w:type="dxa"/>
              <w:left w:w="60" w:type="dxa"/>
              <w:right w:w="60" w:type="dxa"/>
            </w:tcMar>
          </w:tcPr>
          <w:p>
            <w:r>
              <w:rPr>
                <w:b/>
                <w:sz w:val="15"/>
              </w:rPr>
              <w:t>3.1. Planification et formation continue du personnel soignant et médico-technique</w:t>
            </w:r>
          </w:p>
        </w:tc>
        <w:tc>
          <w:tcPr>
            <w:tcW w:type="dxa" w:w="3888"/>
            <w:tcMar>
              <w:top w:w="60" w:type="dxa"/>
              <w:bottom w:w="60" w:type="dxa"/>
              <w:left w:w="60" w:type="dxa"/>
              <w:right w:w="60" w:type="dxa"/>
            </w:tcMar>
          </w:tcPr>
          <w:p>
            <w:r>
              <w:rPr>
                <w:sz w:val="16"/>
              </w:rPr>
              <w:t>3.1.1. Faire un planning annuel de formation du personnel hospitalier en PCI :</w:t>
              <w:br/>
              <w:t>- Recueillir et analyser les besoins en formation</w:t>
              <w:br/>
              <w:t>- Élaborer les modules pédagogiques et le calendrier annuel</w:t>
            </w:r>
          </w:p>
        </w:tc>
        <w:tc>
          <w:tcPr>
            <w:tcW w:type="dxa" w:w="1296"/>
            <w:tcMar>
              <w:top w:w="60" w:type="dxa"/>
              <w:bottom w:w="60" w:type="dxa"/>
              <w:left w:w="40" w:type="dxa"/>
              <w:right w:w="40" w:type="dxa"/>
            </w:tcMar>
          </w:tcPr>
          <w:p>
            <w:pPr>
              <w:jc w:val="center"/>
            </w:pPr>
            <w:r>
              <w:rPr>
                <w:sz w:val="15"/>
              </w:rPr>
              <w:t>Point focal / EOPCI</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Formations antérieures ponctuelles sans plan formalisé</w:t>
            </w:r>
          </w:p>
        </w:tc>
        <w:tc>
          <w:tcPr>
            <w:tcW w:type="dxa" w:w="2160"/>
            <w:tcMar>
              <w:top w:w="60" w:type="dxa"/>
              <w:bottom w:w="60" w:type="dxa"/>
              <w:left w:w="60" w:type="dxa"/>
              <w:right w:w="60" w:type="dxa"/>
            </w:tcMar>
          </w:tcPr>
          <w:p>
            <w:r>
              <w:rPr>
                <w:sz w:val="15"/>
              </w:rPr>
              <w:t>Plan annuel de formation PCI 2026-2027 approuvé par la Direction</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3.1.2. Faire un planning de formation continue et de perfectionnement pour l'équipe PCI et les formateurs internes</w:t>
            </w:r>
          </w:p>
        </w:tc>
        <w:tc>
          <w:tcPr>
            <w:tcW w:type="dxa" w:w="1296"/>
            <w:tcMar>
              <w:top w:w="60" w:type="dxa"/>
              <w:bottom w:w="60" w:type="dxa"/>
              <w:left w:w="40" w:type="dxa"/>
              <w:right w:w="40" w:type="dxa"/>
            </w:tcMar>
          </w:tcPr>
          <w:p>
            <w:pPr>
              <w:jc w:val="center"/>
            </w:pPr>
            <w:r>
              <w:rPr>
                <w:sz w:val="15"/>
              </w:rPr>
              <w:t>Point focal / CLIN</w:t>
            </w:r>
          </w:p>
        </w:tc>
        <w:tc>
          <w:tcPr>
            <w:tcW w:type="dxa" w:w="1296"/>
            <w:tcMar>
              <w:top w:w="60" w:type="dxa"/>
              <w:bottom w:w="60" w:type="dxa"/>
              <w:left w:w="40" w:type="dxa"/>
              <w:right w:w="40" w:type="dxa"/>
            </w:tcMar>
          </w:tcPr>
          <w:p>
            <w:pPr>
              <w:jc w:val="center"/>
            </w:pPr>
            <w:r>
              <w:rPr>
                <w:sz w:val="15"/>
              </w:rPr>
              <w:t>Décembre 2026</w:t>
            </w:r>
          </w:p>
        </w:tc>
        <w:tc>
          <w:tcPr>
            <w:tcW w:type="dxa" w:w="2016"/>
            <w:tcMar>
              <w:top w:w="60" w:type="dxa"/>
              <w:bottom w:w="60" w:type="dxa"/>
              <w:left w:w="60" w:type="dxa"/>
              <w:right w:w="60" w:type="dxa"/>
            </w:tcMar>
          </w:tcPr>
          <w:p>
            <w:r>
              <w:rPr>
                <w:sz w:val="15"/>
              </w:rPr>
              <w:t>Mise à jour hétérogène des compétences de l'équipe</w:t>
            </w:r>
          </w:p>
        </w:tc>
        <w:tc>
          <w:tcPr>
            <w:tcW w:type="dxa" w:w="2160"/>
            <w:tcMar>
              <w:top w:w="60" w:type="dxa"/>
              <w:bottom w:w="60" w:type="dxa"/>
              <w:left w:w="60" w:type="dxa"/>
              <w:right w:w="60" w:type="dxa"/>
            </w:tcMar>
          </w:tcPr>
          <w:p>
            <w:r>
              <w:rPr>
                <w:sz w:val="15"/>
              </w:rPr>
              <w:t>Planning de formation continue exécuté (4 modules de perfectionnement)</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3.1.3. Former l'ensemble du personnel soignant aux Précautions Standard et Précautions Complémentaires une fois par an (focus COVID-19, Fièvre de Lassa, Mpox) :</w:t>
              <w:br/>
              <w:t>- Diffuser les notes de service et plannings de passage</w:t>
              <w:br/>
              <w:t>- Dispenser les sessions modulaires (500 professionnels ciblés)</w:t>
              <w:br/>
              <w:t>- Réaliser les pré-tests et post-tests de compétences</w:t>
            </w:r>
          </w:p>
        </w:tc>
        <w:tc>
          <w:tcPr>
            <w:tcW w:type="dxa" w:w="1296"/>
            <w:tcMar>
              <w:top w:w="60" w:type="dxa"/>
              <w:bottom w:w="60" w:type="dxa"/>
              <w:left w:w="40" w:type="dxa"/>
              <w:right w:w="40" w:type="dxa"/>
            </w:tcMar>
          </w:tcPr>
          <w:p>
            <w:pPr>
              <w:jc w:val="center"/>
            </w:pPr>
            <w:r>
              <w:rPr>
                <w:sz w:val="15"/>
              </w:rPr>
              <w:t>Formateurs internes / EOPCI / DG</w:t>
            </w:r>
          </w:p>
        </w:tc>
        <w:tc>
          <w:tcPr>
            <w:tcW w:type="dxa" w:w="1296"/>
            <w:tcMar>
              <w:top w:w="60" w:type="dxa"/>
              <w:bottom w:w="60" w:type="dxa"/>
              <w:left w:w="40" w:type="dxa"/>
              <w:right w:w="40" w:type="dxa"/>
            </w:tcMar>
          </w:tcPr>
          <w:p>
            <w:pPr>
              <w:jc w:val="center"/>
            </w:pPr>
            <w:r>
              <w:rPr>
                <w:sz w:val="15"/>
              </w:rPr>
              <w:t>Janvier - Mars 2027</w:t>
            </w:r>
          </w:p>
        </w:tc>
        <w:tc>
          <w:tcPr>
            <w:tcW w:type="dxa" w:w="2016"/>
            <w:tcMar>
              <w:top w:w="60" w:type="dxa"/>
              <w:bottom w:w="60" w:type="dxa"/>
              <w:left w:w="60" w:type="dxa"/>
              <w:right w:w="60" w:type="dxa"/>
            </w:tcMar>
          </w:tcPr>
          <w:p>
            <w:r>
              <w:rPr>
                <w:sz w:val="15"/>
              </w:rPr>
              <w:t>Personnel soignant formé à moins de 35% sur les nouvelles directives</w:t>
            </w:r>
          </w:p>
        </w:tc>
        <w:tc>
          <w:tcPr>
            <w:tcW w:type="dxa" w:w="2160"/>
            <w:tcMar>
              <w:top w:w="60" w:type="dxa"/>
              <w:bottom w:w="60" w:type="dxa"/>
              <w:left w:w="60" w:type="dxa"/>
              <w:right w:w="60" w:type="dxa"/>
            </w:tcMar>
          </w:tcPr>
          <w:p>
            <w:r>
              <w:rPr>
                <w:sz w:val="15"/>
              </w:rPr>
              <w:t>500 professionnels de santé formés, évalués et attestés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3.1.4. Organiser les sessions sur les techniques de lavage des mains au personnel des services hospitaliers et connexes / Sensibilisation des agents sur les techniques de lavage des mains</w:t>
            </w:r>
          </w:p>
        </w:tc>
        <w:tc>
          <w:tcPr>
            <w:tcW w:type="dxa" w:w="1296"/>
            <w:tcMar>
              <w:top w:w="60" w:type="dxa"/>
              <w:bottom w:w="60" w:type="dxa"/>
              <w:left w:w="40" w:type="dxa"/>
              <w:right w:w="40" w:type="dxa"/>
            </w:tcMar>
          </w:tcPr>
          <w:p>
            <w:pPr>
              <w:jc w:val="center"/>
            </w:pPr>
            <w:r>
              <w:rPr>
                <w:sz w:val="15"/>
              </w:rPr>
              <w:t>Formateurs internes / EOPCI / Points focaux</w:t>
            </w:r>
          </w:p>
        </w:tc>
        <w:tc>
          <w:tcPr>
            <w:tcW w:type="dxa" w:w="1296"/>
            <w:tcMar>
              <w:top w:w="60" w:type="dxa"/>
              <w:bottom w:w="60" w:type="dxa"/>
              <w:left w:w="40" w:type="dxa"/>
              <w:right w:w="40" w:type="dxa"/>
            </w:tcMar>
          </w:tcPr>
          <w:p>
            <w:pPr>
              <w:jc w:val="center"/>
            </w:pPr>
            <w:r>
              <w:rPr>
                <w:sz w:val="15"/>
              </w:rPr>
              <w:t>Trimestriel (Continu)</w:t>
            </w:r>
          </w:p>
        </w:tc>
        <w:tc>
          <w:tcPr>
            <w:tcW w:type="dxa" w:w="2016"/>
            <w:tcMar>
              <w:top w:w="60" w:type="dxa"/>
              <w:bottom w:w="60" w:type="dxa"/>
              <w:left w:w="60" w:type="dxa"/>
              <w:right w:w="60" w:type="dxa"/>
            </w:tcMar>
          </w:tcPr>
          <w:p>
            <w:r>
              <w:rPr>
                <w:sz w:val="15"/>
              </w:rPr>
              <w:t>Maîtrise inégale des étapes de friction et lavage des mains</w:t>
            </w:r>
          </w:p>
        </w:tc>
        <w:tc>
          <w:tcPr>
            <w:tcW w:type="dxa" w:w="2160"/>
            <w:tcMar>
              <w:top w:w="60" w:type="dxa"/>
              <w:bottom w:w="60" w:type="dxa"/>
              <w:left w:w="60" w:type="dxa"/>
              <w:right w:w="60" w:type="dxa"/>
            </w:tcMar>
          </w:tcPr>
          <w:p>
            <w:r>
              <w:rPr>
                <w:sz w:val="15"/>
              </w:rPr>
              <w:t>100% des services hospitaliers et médico-techniques touchés par des ateliers de démonstration pratique (&gt; 600 agents)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2304"/>
            <w:shd w:fill="F2F2F2"/>
            <w:tcMar>
              <w:top w:w="60" w:type="dxa"/>
              <w:bottom w:w="60" w:type="dxa"/>
              <w:left w:w="60" w:type="dxa"/>
              <w:right w:w="60" w:type="dxa"/>
            </w:tcMar>
          </w:tcPr>
          <w:p>
            <w:r>
              <w:rPr>
                <w:b/>
                <w:sz w:val="15"/>
              </w:rPr>
              <w:t>3.2. Formation pratique des agents d'entretien et aides-soignants sur le bionettoyage et la gestion des déchets biomédicaux</w:t>
            </w:r>
          </w:p>
        </w:tc>
        <w:tc>
          <w:tcPr>
            <w:tcW w:type="dxa" w:w="3888"/>
            <w:tcMar>
              <w:top w:w="60" w:type="dxa"/>
              <w:bottom w:w="60" w:type="dxa"/>
              <w:left w:w="60" w:type="dxa"/>
              <w:right w:w="60" w:type="dxa"/>
            </w:tcMar>
          </w:tcPr>
          <w:p>
            <w:r>
              <w:rPr>
                <w:sz w:val="16"/>
              </w:rPr>
              <w:t>3.2.1. Organiser des sessions pratiques de formation des agents d’entretien et aides-soignants sur le bionettoyage et la gestion des déchets hospitaliers :</w:t>
              <w:br/>
              <w:t>- Techniques de bionettoyage (du plus propre vers le plus sale)</w:t>
              <w:br/>
              <w:t>- Dilution et dosage corrects des détergents-désinfectants</w:t>
              <w:br/>
              <w:t>- Gestion sécurisée des excréta et du linge souillé (300 agents ciblés)</w:t>
            </w:r>
          </w:p>
        </w:tc>
        <w:tc>
          <w:tcPr>
            <w:tcW w:type="dxa" w:w="1296"/>
            <w:tcMar>
              <w:top w:w="60" w:type="dxa"/>
              <w:bottom w:w="60" w:type="dxa"/>
              <w:left w:w="40" w:type="dxa"/>
              <w:right w:w="40" w:type="dxa"/>
            </w:tcMar>
          </w:tcPr>
          <w:p>
            <w:pPr>
              <w:jc w:val="center"/>
            </w:pPr>
            <w:r>
              <w:rPr>
                <w:sz w:val="15"/>
              </w:rPr>
              <w:t>Formateurs internes / EOPCI</w:t>
            </w:r>
          </w:p>
        </w:tc>
        <w:tc>
          <w:tcPr>
            <w:tcW w:type="dxa" w:w="1296"/>
            <w:tcMar>
              <w:top w:w="60" w:type="dxa"/>
              <w:bottom w:w="60" w:type="dxa"/>
              <w:left w:w="40" w:type="dxa"/>
              <w:right w:w="40" w:type="dxa"/>
            </w:tcMar>
          </w:tcPr>
          <w:p>
            <w:pPr>
              <w:jc w:val="center"/>
            </w:pPr>
            <w:r>
              <w:rPr>
                <w:sz w:val="15"/>
              </w:rPr>
              <w:t>Février - Avril 2027</w:t>
            </w:r>
          </w:p>
        </w:tc>
        <w:tc>
          <w:tcPr>
            <w:tcW w:type="dxa" w:w="2016"/>
            <w:tcMar>
              <w:top w:w="60" w:type="dxa"/>
              <w:bottom w:w="60" w:type="dxa"/>
              <w:left w:w="60" w:type="dxa"/>
              <w:right w:w="60" w:type="dxa"/>
            </w:tcMar>
          </w:tcPr>
          <w:p>
            <w:r>
              <w:rPr>
                <w:sz w:val="15"/>
              </w:rPr>
              <w:t>Pratiques empiriques et erreurs de dilution des produits</w:t>
            </w:r>
          </w:p>
        </w:tc>
        <w:tc>
          <w:tcPr>
            <w:tcW w:type="dxa" w:w="2160"/>
            <w:tcMar>
              <w:top w:w="60" w:type="dxa"/>
              <w:bottom w:w="60" w:type="dxa"/>
              <w:left w:w="60" w:type="dxa"/>
              <w:right w:w="60" w:type="dxa"/>
            </w:tcMar>
          </w:tcPr>
          <w:p>
            <w:r>
              <w:rPr>
                <w:sz w:val="15"/>
              </w:rPr>
              <w:t>300 agents d'entretien et aides-soignants formés avec évaluation pratique sur site</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2304"/>
            <w:shd w:fill="F2F2F2"/>
            <w:tcMar>
              <w:top w:w="60" w:type="dxa"/>
              <w:bottom w:w="60" w:type="dxa"/>
              <w:left w:w="60" w:type="dxa"/>
              <w:right w:w="60" w:type="dxa"/>
            </w:tcMar>
          </w:tcPr>
          <w:p>
            <w:r>
              <w:rPr>
                <w:b/>
                <w:sz w:val="15"/>
              </w:rPr>
              <w:t>3.3. Éducation sanitaire des usagers</w:t>
            </w:r>
          </w:p>
        </w:tc>
        <w:tc>
          <w:tcPr>
            <w:tcW w:type="dxa" w:w="3888"/>
            <w:tcMar>
              <w:top w:w="60" w:type="dxa"/>
              <w:bottom w:w="60" w:type="dxa"/>
              <w:left w:w="60" w:type="dxa"/>
              <w:right w:w="60" w:type="dxa"/>
            </w:tcMar>
          </w:tcPr>
          <w:p>
            <w:r>
              <w:rPr>
                <w:sz w:val="16"/>
              </w:rPr>
              <w:t>3.3.1. Organiser des séances régulières d'éducation et de sensibilisation sur les pratiques d’hygiène de base pour les patients et les accompagnants :</w:t>
              <w:br/>
              <w:t>- Hygiène des mains et utilisation correcte des distributeurs de savon/PHA</w:t>
              <w:br/>
              <w:t>- Propreté des chambres et tri des déchets ménagers</w:t>
            </w:r>
          </w:p>
        </w:tc>
        <w:tc>
          <w:tcPr>
            <w:tcW w:type="dxa" w:w="1296"/>
            <w:tcMar>
              <w:top w:w="60" w:type="dxa"/>
              <w:bottom w:w="60" w:type="dxa"/>
              <w:left w:w="40" w:type="dxa"/>
              <w:right w:w="40" w:type="dxa"/>
            </w:tcMar>
          </w:tcPr>
          <w:p>
            <w:pPr>
              <w:jc w:val="center"/>
            </w:pPr>
            <w:r>
              <w:rPr>
                <w:sz w:val="15"/>
              </w:rPr>
              <w:t>EOPCI / Points focaux services / Service social</w:t>
            </w:r>
          </w:p>
        </w:tc>
        <w:tc>
          <w:tcPr>
            <w:tcW w:type="dxa" w:w="1296"/>
            <w:tcMar>
              <w:top w:w="60" w:type="dxa"/>
              <w:bottom w:w="60" w:type="dxa"/>
              <w:left w:w="40" w:type="dxa"/>
              <w:right w:w="40" w:type="dxa"/>
            </w:tcMar>
          </w:tcPr>
          <w:p>
            <w:pPr>
              <w:jc w:val="center"/>
            </w:pPr>
            <w:r>
              <w:rPr>
                <w:sz w:val="15"/>
              </w:rPr>
              <w:t>Continu (Nov. 2026 - Sept. 2027)</w:t>
            </w:r>
          </w:p>
        </w:tc>
        <w:tc>
          <w:tcPr>
            <w:tcW w:type="dxa" w:w="2016"/>
            <w:tcMar>
              <w:top w:w="60" w:type="dxa"/>
              <w:bottom w:w="60" w:type="dxa"/>
              <w:left w:w="60" w:type="dxa"/>
              <w:right w:w="60" w:type="dxa"/>
            </w:tcMar>
          </w:tcPr>
          <w:p>
            <w:r>
              <w:rPr>
                <w:sz w:val="15"/>
              </w:rPr>
              <w:t>Absence de sensibilisation structurée des usagers</w:t>
            </w:r>
          </w:p>
        </w:tc>
        <w:tc>
          <w:tcPr>
            <w:tcW w:type="dxa" w:w="2160"/>
            <w:tcMar>
              <w:top w:w="60" w:type="dxa"/>
              <w:bottom w:w="60" w:type="dxa"/>
              <w:left w:w="60" w:type="dxa"/>
              <w:right w:w="60" w:type="dxa"/>
            </w:tcMar>
          </w:tcPr>
          <w:p>
            <w:r>
              <w:rPr>
                <w:sz w:val="15"/>
              </w:rPr>
              <w:t>Au moins 2 séances d'éducation par semaine par service (&gt; 2 000 accompagnants touchés)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3.4. Participation aux congrès scientifiques et Journée Mondiale</w:t>
            </w:r>
          </w:p>
        </w:tc>
        <w:tc>
          <w:tcPr>
            <w:tcW w:type="dxa" w:w="3888"/>
            <w:tcMar>
              <w:top w:w="60" w:type="dxa"/>
              <w:bottom w:w="60" w:type="dxa"/>
              <w:left w:w="60" w:type="dxa"/>
              <w:right w:w="60" w:type="dxa"/>
            </w:tcMar>
          </w:tcPr>
          <w:p>
            <w:r>
              <w:rPr>
                <w:sz w:val="16"/>
              </w:rPr>
              <w:t>3.4.1. Assurer la participation de la délégation du CHUMEL aux congrès scientifiques de PCI (SB2HPCI / HBEEPTI) (15 membres ciblés)</w:t>
            </w:r>
          </w:p>
        </w:tc>
        <w:tc>
          <w:tcPr>
            <w:tcW w:type="dxa" w:w="1296"/>
            <w:tcMar>
              <w:top w:w="60" w:type="dxa"/>
              <w:bottom w:w="60" w:type="dxa"/>
              <w:left w:w="40" w:type="dxa"/>
              <w:right w:w="40" w:type="dxa"/>
            </w:tcMar>
          </w:tcPr>
          <w:p>
            <w:pPr>
              <w:jc w:val="center"/>
            </w:pPr>
            <w:r>
              <w:rPr>
                <w:sz w:val="15"/>
              </w:rPr>
              <w:t>DG / Point focal PCI</w:t>
            </w:r>
          </w:p>
        </w:tc>
        <w:tc>
          <w:tcPr>
            <w:tcW w:type="dxa" w:w="1296"/>
            <w:tcMar>
              <w:top w:w="60" w:type="dxa"/>
              <w:bottom w:w="60" w:type="dxa"/>
              <w:left w:w="40" w:type="dxa"/>
              <w:right w:w="40" w:type="dxa"/>
            </w:tcMar>
          </w:tcPr>
          <w:p>
            <w:pPr>
              <w:jc w:val="center"/>
            </w:pPr>
            <w:r>
              <w:rPr>
                <w:sz w:val="15"/>
              </w:rPr>
              <w:t>Mai - Juin 2027</w:t>
            </w:r>
          </w:p>
        </w:tc>
        <w:tc>
          <w:tcPr>
            <w:tcW w:type="dxa" w:w="2016"/>
            <w:tcMar>
              <w:top w:w="60" w:type="dxa"/>
              <w:bottom w:w="60" w:type="dxa"/>
              <w:left w:w="60" w:type="dxa"/>
              <w:right w:w="60" w:type="dxa"/>
            </w:tcMar>
          </w:tcPr>
          <w:p>
            <w:r>
              <w:rPr>
                <w:sz w:val="15"/>
              </w:rPr>
              <w:t>Participation irrégulière sans partage systématique</w:t>
            </w:r>
          </w:p>
        </w:tc>
        <w:tc>
          <w:tcPr>
            <w:tcW w:type="dxa" w:w="2160"/>
            <w:tcMar>
              <w:top w:w="60" w:type="dxa"/>
              <w:bottom w:w="60" w:type="dxa"/>
              <w:left w:w="60" w:type="dxa"/>
              <w:right w:w="60" w:type="dxa"/>
            </w:tcMar>
          </w:tcPr>
          <w:p>
            <w:r>
              <w:rPr>
                <w:sz w:val="15"/>
              </w:rPr>
              <w:t>15 professionnels ayant participé au congrès et restitution formelle faite au CLIN</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3.4.2. Participer au congrès de la Société Béninoise d’Hygiène Hospitalière EOPCI (présentation de travaux scientifiques et posters)</w:t>
            </w:r>
          </w:p>
        </w:tc>
        <w:tc>
          <w:tcPr>
            <w:tcW w:type="dxa" w:w="1296"/>
            <w:tcMar>
              <w:top w:w="60" w:type="dxa"/>
              <w:bottom w:w="60" w:type="dxa"/>
              <w:left w:w="40" w:type="dxa"/>
              <w:right w:w="40" w:type="dxa"/>
            </w:tcMar>
          </w:tcPr>
          <w:p>
            <w:pPr>
              <w:jc w:val="center"/>
            </w:pPr>
            <w:r>
              <w:rPr>
                <w:sz w:val="15"/>
              </w:rPr>
              <w:t>DG / EOPCI / Membres délégués</w:t>
            </w:r>
          </w:p>
        </w:tc>
        <w:tc>
          <w:tcPr>
            <w:tcW w:type="dxa" w:w="1296"/>
            <w:tcMar>
              <w:top w:w="60" w:type="dxa"/>
              <w:bottom w:w="60" w:type="dxa"/>
              <w:left w:w="40" w:type="dxa"/>
              <w:right w:w="40" w:type="dxa"/>
            </w:tcMar>
          </w:tcPr>
          <w:p>
            <w:pPr>
              <w:jc w:val="center"/>
            </w:pPr>
            <w:r>
              <w:rPr>
                <w:sz w:val="15"/>
              </w:rPr>
              <w:t>Mai - Juin 2027</w:t>
            </w:r>
          </w:p>
        </w:tc>
        <w:tc>
          <w:tcPr>
            <w:tcW w:type="dxa" w:w="2016"/>
            <w:tcMar>
              <w:top w:w="60" w:type="dxa"/>
              <w:bottom w:w="60" w:type="dxa"/>
              <w:left w:w="60" w:type="dxa"/>
              <w:right w:w="60" w:type="dxa"/>
            </w:tcMar>
          </w:tcPr>
          <w:p>
            <w:r>
              <w:rPr>
                <w:sz w:val="15"/>
              </w:rPr>
              <w:t>Faible valorisation des données scientifiques internes</w:t>
            </w:r>
          </w:p>
        </w:tc>
        <w:tc>
          <w:tcPr>
            <w:tcW w:type="dxa" w:w="2160"/>
            <w:tcMar>
              <w:top w:w="60" w:type="dxa"/>
              <w:bottom w:w="60" w:type="dxa"/>
              <w:left w:w="60" w:type="dxa"/>
              <w:right w:w="60" w:type="dxa"/>
            </w:tcMar>
          </w:tcPr>
          <w:p>
            <w:r>
              <w:rPr>
                <w:sz w:val="15"/>
              </w:rPr>
              <w:t>5 communications scientifiques ou posters présentés par le CHUMEL et rapport de congrès validé</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3.4.3. Faire une journée de l’hygiène des mains (organisation et célébration de la Journée internationale du 5 mai 2027 « Sauvez des vies : nettoyez-vous les mains ») :</w:t>
              <w:br/>
              <w:t>- Conférences thématiques et ateliers de démonstration pratique</w:t>
              <w:br/>
              <w:t>- Concours d'émulation du service le plus observant avec remise de prix</w:t>
              <w:br/>
              <w:t>- Distribution de flacons individuels de solution hydro-alcoolique (PHA)</w:t>
              <w:br/>
              <w:t>- Stands d'information grand public et couverture médiatique</w:t>
            </w:r>
          </w:p>
        </w:tc>
        <w:tc>
          <w:tcPr>
            <w:tcW w:type="dxa" w:w="1296"/>
            <w:tcMar>
              <w:top w:w="60" w:type="dxa"/>
              <w:bottom w:w="60" w:type="dxa"/>
              <w:left w:w="40" w:type="dxa"/>
              <w:right w:w="40" w:type="dxa"/>
            </w:tcMar>
          </w:tcPr>
          <w:p>
            <w:pPr>
              <w:jc w:val="center"/>
            </w:pPr>
            <w:r>
              <w:rPr>
                <w:sz w:val="15"/>
              </w:rPr>
              <w:t>CLIN / EOPCI / DG</w:t>
            </w:r>
          </w:p>
        </w:tc>
        <w:tc>
          <w:tcPr>
            <w:tcW w:type="dxa" w:w="1296"/>
            <w:tcMar>
              <w:top w:w="60" w:type="dxa"/>
              <w:bottom w:w="60" w:type="dxa"/>
              <w:left w:w="40" w:type="dxa"/>
              <w:right w:w="40" w:type="dxa"/>
            </w:tcMar>
          </w:tcPr>
          <w:p>
            <w:pPr>
              <w:jc w:val="center"/>
            </w:pPr>
            <w:r>
              <w:rPr>
                <w:sz w:val="15"/>
              </w:rPr>
              <w:t>Mai 2027</w:t>
            </w:r>
          </w:p>
        </w:tc>
        <w:tc>
          <w:tcPr>
            <w:tcW w:type="dxa" w:w="2016"/>
            <w:tcMar>
              <w:top w:w="60" w:type="dxa"/>
              <w:bottom w:w="60" w:type="dxa"/>
              <w:left w:w="60" w:type="dxa"/>
              <w:right w:w="60" w:type="dxa"/>
            </w:tcMar>
          </w:tcPr>
          <w:p>
            <w:r>
              <w:rPr>
                <w:sz w:val="15"/>
              </w:rPr>
              <w:t>Célébration ponctuelle à faible impact</w:t>
            </w:r>
          </w:p>
        </w:tc>
        <w:tc>
          <w:tcPr>
            <w:tcW w:type="dxa" w:w="2160"/>
            <w:tcMar>
              <w:top w:w="60" w:type="dxa"/>
              <w:bottom w:w="60" w:type="dxa"/>
              <w:left w:w="60" w:type="dxa"/>
              <w:right w:w="60" w:type="dxa"/>
            </w:tcMar>
          </w:tcPr>
          <w:p>
            <w:r>
              <w:rPr>
                <w:sz w:val="15"/>
              </w:rPr>
              <w:t>Journée célébrée avec succès, mobilisation de plus de 500 professionnels, usagers et étudiants primés</w:t>
            </w:r>
          </w:p>
        </w:tc>
        <w:tc>
          <w:tcPr>
            <w:tcW w:type="dxa" w:w="1152"/>
            <w:tcMar>
              <w:top w:w="60" w:type="dxa"/>
              <w:bottom w:w="60" w:type="dxa"/>
              <w:left w:w="40" w:type="dxa"/>
              <w:right w:w="40" w:type="dxa"/>
            </w:tcMar>
          </w:tcPr>
          <w:p>
            <w:pPr>
              <w:jc w:val="center"/>
            </w:pPr>
            <w:r>
              <w:rPr>
                <w:b/>
                <w:sz w:val="15"/>
              </w:rPr>
              <w:t>FP / PTF</w:t>
            </w:r>
          </w:p>
        </w:tc>
      </w:tr>
      <w:tr>
        <w:trPr>
          <w:cantSplit/>
        </w:trPr>
        <w:tc>
          <w:tcPr>
            <w:tcW w:type="dxa" w:w="1872"/>
            <w:vMerge w:val="restart"/>
            <w:shd w:fill="D9E1F2"/>
            <w:tcMar>
              <w:top w:w="60" w:type="dxa"/>
              <w:bottom w:w="60" w:type="dxa"/>
              <w:left w:w="60" w:type="dxa"/>
              <w:right w:w="60" w:type="dxa"/>
            </w:tcMar>
          </w:tcPr>
          <w:p>
            <w:r>
              <w:rPr>
                <w:b/>
                <w:color w:val="1B365D"/>
                <w:sz w:val="17"/>
              </w:rPr>
              <w:t>V. SURVEILLANCE DES IAS</w:t>
            </w:r>
          </w:p>
        </w:tc>
        <w:tc>
          <w:tcPr>
            <w:tcW w:type="dxa" w:w="2304"/>
            <w:vMerge w:val="restart"/>
            <w:shd w:fill="F2F2F2"/>
            <w:tcMar>
              <w:top w:w="60" w:type="dxa"/>
              <w:bottom w:w="60" w:type="dxa"/>
              <w:left w:w="60" w:type="dxa"/>
              <w:right w:w="60" w:type="dxa"/>
            </w:tcMar>
          </w:tcPr>
          <w:p>
            <w:r>
              <w:rPr>
                <w:b/>
                <w:sz w:val="15"/>
              </w:rPr>
              <w:t>5.1. Dispositif de surveillance épidémiologique des infections associées aux soins</w:t>
            </w:r>
          </w:p>
        </w:tc>
        <w:tc>
          <w:tcPr>
            <w:tcW w:type="dxa" w:w="3888"/>
            <w:tcMar>
              <w:top w:w="60" w:type="dxa"/>
              <w:bottom w:w="60" w:type="dxa"/>
              <w:left w:w="60" w:type="dxa"/>
              <w:right w:w="60" w:type="dxa"/>
            </w:tcMar>
          </w:tcPr>
          <w:p>
            <w:r>
              <w:rPr>
                <w:sz w:val="16"/>
              </w:rPr>
              <w:t>5.1.1. Élaborer, valider et déployer le plan institutionnel de surveillance des Infections Associées aux Soins (IAS) :</w:t>
              <w:br/>
              <w:t>- Définir les protocoles de surveillance ciblée (Infections du Site Opératoire, bactériémies sur cathéter, infections urinaires sur sonde, infections néonatales)</w:t>
              <w:br/>
              <w:t>- Standardiser les fiches de recueil et de notification</w:t>
            </w:r>
          </w:p>
        </w:tc>
        <w:tc>
          <w:tcPr>
            <w:tcW w:type="dxa" w:w="1296"/>
            <w:tcMar>
              <w:top w:w="60" w:type="dxa"/>
              <w:bottom w:w="60" w:type="dxa"/>
              <w:left w:w="40" w:type="dxa"/>
              <w:right w:w="40" w:type="dxa"/>
            </w:tcMar>
          </w:tcPr>
          <w:p>
            <w:pPr>
              <w:jc w:val="center"/>
            </w:pPr>
            <w:r>
              <w:rPr>
                <w:sz w:val="15"/>
              </w:rPr>
              <w:t>EOPCI / Réanimation / Maternité / Pédiatrie</w:t>
            </w:r>
          </w:p>
        </w:tc>
        <w:tc>
          <w:tcPr>
            <w:tcW w:type="dxa" w:w="1296"/>
            <w:tcMar>
              <w:top w:w="60" w:type="dxa"/>
              <w:bottom w:w="60" w:type="dxa"/>
              <w:left w:w="40" w:type="dxa"/>
              <w:right w:w="40" w:type="dxa"/>
            </w:tcMar>
          </w:tcPr>
          <w:p>
            <w:pPr>
              <w:jc w:val="center"/>
            </w:pPr>
            <w:r>
              <w:rPr>
                <w:sz w:val="15"/>
              </w:rPr>
              <w:t>Novembre - Décembre 2026</w:t>
            </w:r>
          </w:p>
        </w:tc>
        <w:tc>
          <w:tcPr>
            <w:tcW w:type="dxa" w:w="2016"/>
            <w:tcMar>
              <w:top w:w="60" w:type="dxa"/>
              <w:bottom w:w="60" w:type="dxa"/>
              <w:left w:w="60" w:type="dxa"/>
              <w:right w:w="60" w:type="dxa"/>
            </w:tcMar>
          </w:tcPr>
          <w:p>
            <w:r>
              <w:rPr>
                <w:sz w:val="15"/>
              </w:rPr>
              <w:t>Protocole institutionnel de surveillance inexistant</w:t>
            </w:r>
          </w:p>
        </w:tc>
        <w:tc>
          <w:tcPr>
            <w:tcW w:type="dxa" w:w="2160"/>
            <w:tcMar>
              <w:top w:w="60" w:type="dxa"/>
              <w:bottom w:w="60" w:type="dxa"/>
              <w:left w:w="60" w:type="dxa"/>
              <w:right w:w="60" w:type="dxa"/>
            </w:tcMar>
          </w:tcPr>
          <w:p>
            <w:r>
              <w:rPr>
                <w:sz w:val="15"/>
              </w:rPr>
              <w:t>Plan et protocoles de surveillance des IAS validés et déployés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5.1.2. Organiser des enquêtes épidémiologiques sur les IAS (une enquête approfondie dans les départements d’intérêt au CHU-MEL : réanimation, néonatalogie, maternité, chirurgie)</w:t>
            </w:r>
          </w:p>
        </w:tc>
        <w:tc>
          <w:tcPr>
            <w:tcW w:type="dxa" w:w="1296"/>
            <w:tcMar>
              <w:top w:w="60" w:type="dxa"/>
              <w:bottom w:w="60" w:type="dxa"/>
              <w:left w:w="40" w:type="dxa"/>
              <w:right w:w="40" w:type="dxa"/>
            </w:tcMar>
          </w:tcPr>
          <w:p>
            <w:pPr>
              <w:jc w:val="center"/>
            </w:pPr>
            <w:r>
              <w:rPr>
                <w:sz w:val="15"/>
              </w:rPr>
              <w:t>EOPCI / Équipes de soins</w:t>
            </w:r>
          </w:p>
        </w:tc>
        <w:tc>
          <w:tcPr>
            <w:tcW w:type="dxa" w:w="1296"/>
            <w:tcMar>
              <w:top w:w="60" w:type="dxa"/>
              <w:bottom w:w="60" w:type="dxa"/>
              <w:left w:w="40" w:type="dxa"/>
              <w:right w:w="40" w:type="dxa"/>
            </w:tcMar>
          </w:tcPr>
          <w:p>
            <w:pPr>
              <w:jc w:val="center"/>
            </w:pPr>
            <w:r>
              <w:rPr>
                <w:sz w:val="15"/>
              </w:rPr>
              <w:t>Janvier 2027 et Juillet 2027</w:t>
            </w:r>
          </w:p>
        </w:tc>
        <w:tc>
          <w:tcPr>
            <w:tcW w:type="dxa" w:w="2016"/>
            <w:tcMar>
              <w:top w:w="60" w:type="dxa"/>
              <w:bottom w:w="60" w:type="dxa"/>
              <w:left w:w="60" w:type="dxa"/>
              <w:right w:w="60" w:type="dxa"/>
            </w:tcMar>
          </w:tcPr>
          <w:p>
            <w:r>
              <w:rPr>
                <w:sz w:val="15"/>
              </w:rPr>
              <w:t>Taux de prévalence global des IAS au CHUMEL méconnu</w:t>
            </w:r>
          </w:p>
        </w:tc>
        <w:tc>
          <w:tcPr>
            <w:tcW w:type="dxa" w:w="2160"/>
            <w:tcMar>
              <w:top w:w="60" w:type="dxa"/>
              <w:bottom w:w="60" w:type="dxa"/>
              <w:left w:w="60" w:type="dxa"/>
              <w:right w:w="60" w:type="dxa"/>
            </w:tcMar>
          </w:tcPr>
          <w:p>
            <w:r>
              <w:rPr>
                <w:sz w:val="15"/>
              </w:rPr>
              <w:t>Enquête de prévalence réalisée et rapport analytique diffusé avec identification des facteurs de risque</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5.1.3. Organiser la collecte hebdomadaire de données sur les IAS par les points focaux IAS de service</w:t>
            </w:r>
          </w:p>
        </w:tc>
        <w:tc>
          <w:tcPr>
            <w:tcW w:type="dxa" w:w="1296"/>
            <w:tcMar>
              <w:top w:w="60" w:type="dxa"/>
              <w:bottom w:w="60" w:type="dxa"/>
              <w:left w:w="40" w:type="dxa"/>
              <w:right w:w="40" w:type="dxa"/>
            </w:tcMar>
          </w:tcPr>
          <w:p>
            <w:pPr>
              <w:jc w:val="center"/>
            </w:pPr>
            <w:r>
              <w:rPr>
                <w:sz w:val="15"/>
              </w:rPr>
              <w:t>Points focaux de service / EOPCI</w:t>
            </w:r>
          </w:p>
        </w:tc>
        <w:tc>
          <w:tcPr>
            <w:tcW w:type="dxa" w:w="1296"/>
            <w:tcMar>
              <w:top w:w="60" w:type="dxa"/>
              <w:bottom w:w="60" w:type="dxa"/>
              <w:left w:w="40" w:type="dxa"/>
              <w:right w:w="40" w:type="dxa"/>
            </w:tcMar>
          </w:tcPr>
          <w:p>
            <w:pPr>
              <w:jc w:val="center"/>
            </w:pPr>
            <w:r>
              <w:rPr>
                <w:sz w:val="15"/>
              </w:rPr>
              <w:t>Hebdomadaire (Continu)</w:t>
            </w:r>
          </w:p>
        </w:tc>
        <w:tc>
          <w:tcPr>
            <w:tcW w:type="dxa" w:w="2016"/>
            <w:tcMar>
              <w:top w:w="60" w:type="dxa"/>
              <w:bottom w:w="60" w:type="dxa"/>
              <w:left w:w="60" w:type="dxa"/>
              <w:right w:w="60" w:type="dxa"/>
            </w:tcMar>
          </w:tcPr>
          <w:p>
            <w:r>
              <w:rPr>
                <w:sz w:val="15"/>
              </w:rPr>
              <w:t>Absence de recueil hebdomadaire standardisé</w:t>
            </w:r>
          </w:p>
        </w:tc>
        <w:tc>
          <w:tcPr>
            <w:tcW w:type="dxa" w:w="2160"/>
            <w:tcMar>
              <w:top w:w="60" w:type="dxa"/>
              <w:bottom w:w="60" w:type="dxa"/>
              <w:left w:w="60" w:type="dxa"/>
              <w:right w:w="60" w:type="dxa"/>
            </w:tcMar>
          </w:tcPr>
          <w:p>
            <w:r>
              <w:rPr>
                <w:sz w:val="15"/>
              </w:rPr>
              <w:t>Fiches de notification hebdomadaire renseignées et transmises à l'EOPCI dans 100% des services cibles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5.1.4. Faire une analyse hebdomadaire des données sur les IAS et présenter les résultats à la réunion hebdomadaire de l’EOPCI</w:t>
            </w:r>
          </w:p>
        </w:tc>
        <w:tc>
          <w:tcPr>
            <w:tcW w:type="dxa" w:w="1296"/>
            <w:tcMar>
              <w:top w:w="60" w:type="dxa"/>
              <w:bottom w:w="60" w:type="dxa"/>
              <w:left w:w="40" w:type="dxa"/>
              <w:right w:w="40" w:type="dxa"/>
            </w:tcMar>
          </w:tcPr>
          <w:p>
            <w:pPr>
              <w:jc w:val="center"/>
            </w:pPr>
            <w:r>
              <w:rPr>
                <w:sz w:val="15"/>
              </w:rPr>
              <w:t>Épidémiologiste / Point focal / EOPCI</w:t>
            </w:r>
          </w:p>
        </w:tc>
        <w:tc>
          <w:tcPr>
            <w:tcW w:type="dxa" w:w="1296"/>
            <w:tcMar>
              <w:top w:w="60" w:type="dxa"/>
              <w:bottom w:w="60" w:type="dxa"/>
              <w:left w:w="40" w:type="dxa"/>
              <w:right w:w="40" w:type="dxa"/>
            </w:tcMar>
          </w:tcPr>
          <w:p>
            <w:pPr>
              <w:jc w:val="center"/>
            </w:pPr>
            <w:r>
              <w:rPr>
                <w:sz w:val="15"/>
              </w:rPr>
              <w:t>Hebdomadaire (Continu)</w:t>
            </w:r>
          </w:p>
        </w:tc>
        <w:tc>
          <w:tcPr>
            <w:tcW w:type="dxa" w:w="2016"/>
            <w:tcMar>
              <w:top w:w="60" w:type="dxa"/>
              <w:bottom w:w="60" w:type="dxa"/>
              <w:left w:w="60" w:type="dxa"/>
              <w:right w:w="60" w:type="dxa"/>
            </w:tcMar>
          </w:tcPr>
          <w:p>
            <w:r>
              <w:rPr>
                <w:sz w:val="15"/>
              </w:rPr>
              <w:t>Données brutes non analysées en temps réel</w:t>
            </w:r>
          </w:p>
        </w:tc>
        <w:tc>
          <w:tcPr>
            <w:tcW w:type="dxa" w:w="2160"/>
            <w:tcMar>
              <w:top w:w="60" w:type="dxa"/>
              <w:bottom w:w="60" w:type="dxa"/>
              <w:left w:w="60" w:type="dxa"/>
              <w:right w:w="60" w:type="dxa"/>
            </w:tcMar>
          </w:tcPr>
          <w:p>
            <w:r>
              <w:rPr>
                <w:sz w:val="15"/>
              </w:rPr>
              <w:t>52 synthèses hebdomadaires produites et intégrées au tableau de bord des alertes de l'EOPCI</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5.2. Microbiologie hospitalière et recherche des germes nosocomiaux</w:t>
            </w:r>
          </w:p>
        </w:tc>
        <w:tc>
          <w:tcPr>
            <w:tcW w:type="dxa" w:w="3888"/>
            <w:tcMar>
              <w:top w:w="60" w:type="dxa"/>
              <w:bottom w:w="60" w:type="dxa"/>
              <w:left w:w="60" w:type="dxa"/>
              <w:right w:w="60" w:type="dxa"/>
            </w:tcMar>
          </w:tcPr>
          <w:p>
            <w:r>
              <w:rPr>
                <w:sz w:val="16"/>
              </w:rPr>
              <w:t>5.2.1. Intégrer les aspects d’analyse microbiologique et de contrôle environnemental dans les activités régulières du laboratoire du CHUMEL :</w:t>
              <w:br/>
              <w:t>- Standardiser les techniques de prélèvement d'air, d'eau et de surfaces</w:t>
              <w:br/>
              <w:t>- Ouvrir un registre dédié aux contrôles bactériologiques d'hygiène</w:t>
            </w:r>
          </w:p>
        </w:tc>
        <w:tc>
          <w:tcPr>
            <w:tcW w:type="dxa" w:w="1296"/>
            <w:tcMar>
              <w:top w:w="60" w:type="dxa"/>
              <w:bottom w:w="60" w:type="dxa"/>
              <w:left w:w="40" w:type="dxa"/>
              <w:right w:w="40" w:type="dxa"/>
            </w:tcMar>
          </w:tcPr>
          <w:p>
            <w:pPr>
              <w:jc w:val="center"/>
            </w:pPr>
            <w:r>
              <w:rPr>
                <w:sz w:val="15"/>
              </w:rPr>
              <w:t>Chef Service Laboratoire / EOPCI</w:t>
            </w:r>
          </w:p>
        </w:tc>
        <w:tc>
          <w:tcPr>
            <w:tcW w:type="dxa" w:w="1296"/>
            <w:tcMar>
              <w:top w:w="60" w:type="dxa"/>
              <w:bottom w:w="60" w:type="dxa"/>
              <w:left w:w="40" w:type="dxa"/>
              <w:right w:w="40" w:type="dxa"/>
            </w:tcMar>
          </w:tcPr>
          <w:p>
            <w:pPr>
              <w:jc w:val="center"/>
            </w:pPr>
            <w:r>
              <w:rPr>
                <w:sz w:val="15"/>
              </w:rPr>
              <w:t>Décembre 2026</w:t>
            </w:r>
          </w:p>
        </w:tc>
        <w:tc>
          <w:tcPr>
            <w:tcW w:type="dxa" w:w="2016"/>
            <w:tcMar>
              <w:top w:w="60" w:type="dxa"/>
              <w:bottom w:w="60" w:type="dxa"/>
              <w:left w:w="60" w:type="dxa"/>
              <w:right w:w="60" w:type="dxa"/>
            </w:tcMar>
          </w:tcPr>
          <w:p>
            <w:r>
              <w:rPr>
                <w:sz w:val="15"/>
              </w:rPr>
              <w:t>Contrôles bactériologiques d'hygiène non systématisés</w:t>
            </w:r>
          </w:p>
        </w:tc>
        <w:tc>
          <w:tcPr>
            <w:tcW w:type="dxa" w:w="2160"/>
            <w:tcMar>
              <w:top w:w="60" w:type="dxa"/>
              <w:bottom w:w="60" w:type="dxa"/>
              <w:left w:w="60" w:type="dxa"/>
              <w:right w:w="60" w:type="dxa"/>
            </w:tcMar>
          </w:tcPr>
          <w:p>
            <w:r>
              <w:rPr>
                <w:sz w:val="15"/>
              </w:rPr>
              <w:t>Procédure d'analyse microbiologique intégrée au catalogue des prestations du laboratoire</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5.2.2. Exécuter le programme annuel de recherche des germes nosocomiaux et profils de résistance aux antibiotiques (33 processus / séries de prélèvements environnementaux et sentinelles) :</w:t>
              <w:br/>
              <w:t>- Prélèvements de surfaces dans les blocs opératoires, réanimation, néonatologie et biberonnerie</w:t>
              <w:br/>
              <w:t>- Contrôle bactériologique de l'air et de la stérilisation</w:t>
              <w:br/>
              <w:t>- Isolement des bactéries multirésistantes (BMR) et établissement des antibiogrammes</w:t>
            </w:r>
          </w:p>
        </w:tc>
        <w:tc>
          <w:tcPr>
            <w:tcW w:type="dxa" w:w="1296"/>
            <w:tcMar>
              <w:top w:w="60" w:type="dxa"/>
              <w:bottom w:w="60" w:type="dxa"/>
              <w:left w:w="40" w:type="dxa"/>
              <w:right w:w="40" w:type="dxa"/>
            </w:tcMar>
          </w:tcPr>
          <w:p>
            <w:pPr>
              <w:jc w:val="center"/>
            </w:pPr>
            <w:r>
              <w:rPr>
                <w:sz w:val="15"/>
              </w:rPr>
              <w:t>Laboratoire de bactériologie / EOPCI</w:t>
            </w:r>
          </w:p>
        </w:tc>
        <w:tc>
          <w:tcPr>
            <w:tcW w:type="dxa" w:w="1296"/>
            <w:tcMar>
              <w:top w:w="60" w:type="dxa"/>
              <w:bottom w:w="60" w:type="dxa"/>
              <w:left w:w="40" w:type="dxa"/>
              <w:right w:w="40" w:type="dxa"/>
            </w:tcMar>
          </w:tcPr>
          <w:p>
            <w:pPr>
              <w:jc w:val="center"/>
            </w:pPr>
            <w:r>
              <w:rPr>
                <w:sz w:val="15"/>
              </w:rPr>
              <w:t>Continu (Octobre 2026 - Septembre 2027)</w:t>
            </w:r>
          </w:p>
        </w:tc>
        <w:tc>
          <w:tcPr>
            <w:tcW w:type="dxa" w:w="2016"/>
            <w:tcMar>
              <w:top w:w="60" w:type="dxa"/>
              <w:bottom w:w="60" w:type="dxa"/>
              <w:left w:w="60" w:type="dxa"/>
              <w:right w:w="60" w:type="dxa"/>
            </w:tcMar>
          </w:tcPr>
          <w:p>
            <w:r>
              <w:rPr>
                <w:sz w:val="15"/>
              </w:rPr>
              <w:t>Données sporadiques d'écologie bactérienne hospitalière</w:t>
            </w:r>
          </w:p>
        </w:tc>
        <w:tc>
          <w:tcPr>
            <w:tcW w:type="dxa" w:w="2160"/>
            <w:tcMar>
              <w:top w:w="60" w:type="dxa"/>
              <w:bottom w:w="60" w:type="dxa"/>
              <w:left w:w="60" w:type="dxa"/>
              <w:right w:w="60" w:type="dxa"/>
            </w:tcMar>
          </w:tcPr>
          <w:p>
            <w:r>
              <w:rPr>
                <w:sz w:val="15"/>
              </w:rPr>
              <w:t>33 séries de contrôles microbiologiques exécutées avec cartographie complète de l'écologie microbienne du CHUMEL</w:t>
            </w:r>
          </w:p>
        </w:tc>
        <w:tc>
          <w:tcPr>
            <w:tcW w:type="dxa" w:w="1152"/>
            <w:tcMar>
              <w:top w:w="60" w:type="dxa"/>
              <w:bottom w:w="60" w:type="dxa"/>
              <w:left w:w="40" w:type="dxa"/>
              <w:right w:w="40" w:type="dxa"/>
            </w:tcMar>
          </w:tcPr>
          <w:p>
            <w:pPr>
              <w:jc w:val="center"/>
            </w:pPr>
            <w:r>
              <w:rPr>
                <w:b/>
                <w:sz w:val="15"/>
              </w:rPr>
              <w:t>FP</w:t>
            </w:r>
          </w:p>
        </w:tc>
      </w:tr>
      <w:tr>
        <w:trPr>
          <w:cantSplit/>
        </w:trPr>
        <w:tc>
          <w:tcPr>
            <w:tcW w:type="dxa" w:w="1872"/>
            <w:vMerge w:val="restart"/>
            <w:shd w:fill="D9E1F2"/>
            <w:tcMar>
              <w:top w:w="60" w:type="dxa"/>
              <w:bottom w:w="60" w:type="dxa"/>
              <w:left w:w="60" w:type="dxa"/>
              <w:right w:w="60" w:type="dxa"/>
            </w:tcMar>
          </w:tcPr>
          <w:p>
            <w:r>
              <w:rPr>
                <w:b/>
                <w:color w:val="1B365D"/>
                <w:sz w:val="17"/>
              </w:rPr>
              <w:t>VII. SUIVI, AUDITS ET RESTITUTION DES RÉSULTATS</w:t>
            </w:r>
          </w:p>
        </w:tc>
        <w:tc>
          <w:tcPr>
            <w:tcW w:type="dxa" w:w="2304"/>
            <w:vMerge w:val="restart"/>
            <w:shd w:fill="F2F2F2"/>
            <w:tcMar>
              <w:top w:w="60" w:type="dxa"/>
              <w:bottom w:w="60" w:type="dxa"/>
              <w:left w:w="60" w:type="dxa"/>
              <w:right w:w="60" w:type="dxa"/>
            </w:tcMar>
          </w:tcPr>
          <w:p>
            <w:r>
              <w:rPr>
                <w:b/>
                <w:sz w:val="15"/>
              </w:rPr>
              <w:t>7.1. Dispositif de mesure, indicateurs et équipements informatiques de suivi-évaluation</w:t>
            </w:r>
          </w:p>
        </w:tc>
        <w:tc>
          <w:tcPr>
            <w:tcW w:type="dxa" w:w="3888"/>
            <w:tcMar>
              <w:top w:w="60" w:type="dxa"/>
              <w:bottom w:w="60" w:type="dxa"/>
              <w:left w:w="60" w:type="dxa"/>
              <w:right w:w="60" w:type="dxa"/>
            </w:tcMar>
          </w:tcPr>
          <w:p>
            <w:r>
              <w:rPr>
                <w:sz w:val="16"/>
              </w:rPr>
              <w:t>7.1.1. Identifier et formaliser les indicateurs clés de suivi de la PCI (taux d'observance de l'hygiène des mains, conformité de pose/entretien des cathéters, conformité de pose des sondes urinaires, respect du tri des DBM, conformité du bionettoyage, taux d'AES)</w:t>
            </w:r>
          </w:p>
        </w:tc>
        <w:tc>
          <w:tcPr>
            <w:tcW w:type="dxa" w:w="1296"/>
            <w:tcMar>
              <w:top w:w="60" w:type="dxa"/>
              <w:bottom w:w="60" w:type="dxa"/>
              <w:left w:w="40" w:type="dxa"/>
              <w:right w:w="40" w:type="dxa"/>
            </w:tcMar>
          </w:tcPr>
          <w:p>
            <w:pPr>
              <w:jc w:val="center"/>
            </w:pPr>
            <w:r>
              <w:rPr>
                <w:sz w:val="15"/>
              </w:rPr>
              <w:t>EOPCI</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Absence de liste consensuelle d'indicateurs standardisés</w:t>
            </w:r>
          </w:p>
        </w:tc>
        <w:tc>
          <w:tcPr>
            <w:tcW w:type="dxa" w:w="2160"/>
            <w:tcMar>
              <w:top w:w="60" w:type="dxa"/>
              <w:bottom w:w="60" w:type="dxa"/>
              <w:left w:w="60" w:type="dxa"/>
              <w:right w:w="60" w:type="dxa"/>
            </w:tcMar>
          </w:tcPr>
          <w:p>
            <w:r>
              <w:rPr>
                <w:sz w:val="15"/>
              </w:rPr>
              <w:t>Répertoire de 6 indicateurs prioritaires formalisé avec fiches de calcul documentées</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7.1.2. Élaborer, tester et dupliquer les outils et grilles standardisés d'audit clinique et de recueil de données de terrain</w:t>
            </w:r>
          </w:p>
        </w:tc>
        <w:tc>
          <w:tcPr>
            <w:tcW w:type="dxa" w:w="1296"/>
            <w:tcMar>
              <w:top w:w="60" w:type="dxa"/>
              <w:bottom w:w="60" w:type="dxa"/>
              <w:left w:w="40" w:type="dxa"/>
              <w:right w:w="40" w:type="dxa"/>
            </w:tcMar>
          </w:tcPr>
          <w:p>
            <w:pPr>
              <w:jc w:val="center"/>
            </w:pPr>
            <w:r>
              <w:rPr>
                <w:sz w:val="15"/>
              </w:rPr>
              <w:t>EOPCI</w:t>
            </w:r>
          </w:p>
        </w:tc>
        <w:tc>
          <w:tcPr>
            <w:tcW w:type="dxa" w:w="1296"/>
            <w:tcMar>
              <w:top w:w="60" w:type="dxa"/>
              <w:bottom w:w="60" w:type="dxa"/>
              <w:left w:w="40" w:type="dxa"/>
              <w:right w:w="40" w:type="dxa"/>
            </w:tcMar>
          </w:tcPr>
          <w:p>
            <w:pPr>
              <w:jc w:val="center"/>
            </w:pPr>
            <w:r>
              <w:rPr>
                <w:sz w:val="15"/>
              </w:rPr>
              <w:t>Décembre 2026</w:t>
            </w:r>
          </w:p>
        </w:tc>
        <w:tc>
          <w:tcPr>
            <w:tcW w:type="dxa" w:w="2016"/>
            <w:tcMar>
              <w:top w:w="60" w:type="dxa"/>
              <w:bottom w:w="60" w:type="dxa"/>
              <w:left w:w="60" w:type="dxa"/>
              <w:right w:w="60" w:type="dxa"/>
            </w:tcMar>
          </w:tcPr>
          <w:p>
            <w:r>
              <w:rPr>
                <w:sz w:val="15"/>
              </w:rPr>
              <w:t>Grilles d'audit disparates non harmonisées</w:t>
            </w:r>
          </w:p>
        </w:tc>
        <w:tc>
          <w:tcPr>
            <w:tcW w:type="dxa" w:w="2160"/>
            <w:tcMar>
              <w:top w:w="60" w:type="dxa"/>
              <w:bottom w:w="60" w:type="dxa"/>
              <w:left w:w="60" w:type="dxa"/>
              <w:right w:w="60" w:type="dxa"/>
            </w:tcMar>
          </w:tcPr>
          <w:p>
            <w:r>
              <w:rPr>
                <w:sz w:val="15"/>
              </w:rPr>
              <w:t>Kit complet de grilles d'audit clinique validé et disponible sous formats papier et électronique</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7.1.3. Doter l'unité PCI en matériels informatiques et de bureau indispensables au recueil statistique et à la gestion documentaire :</w:t>
              <w:br/>
              <w:t>- 1 Ordinateur portable dédié aux données PCI</w:t>
              <w:br/>
              <w:t>- 1 Imprimante multifonction (impression des grilles et rapports)</w:t>
              <w:br/>
              <w:t>- 1 Disque dur SSD externe 1 To et 1 clé USB 32 Go (sauvegarde et archivage)</w:t>
              <w:br/>
              <w:t>- 1 Armoire de rangement sécurisée des archives du CLIN</w:t>
              <w:br/>
              <w:t>- Fournitures de bureau</w:t>
            </w:r>
          </w:p>
        </w:tc>
        <w:tc>
          <w:tcPr>
            <w:tcW w:type="dxa" w:w="1296"/>
            <w:tcMar>
              <w:top w:w="60" w:type="dxa"/>
              <w:bottom w:w="60" w:type="dxa"/>
              <w:left w:w="40" w:type="dxa"/>
              <w:right w:w="40" w:type="dxa"/>
            </w:tcMar>
          </w:tcPr>
          <w:p>
            <w:pPr>
              <w:jc w:val="center"/>
            </w:pPr>
            <w:r>
              <w:rPr>
                <w:sz w:val="15"/>
              </w:rPr>
              <w:t>DAF / EOPCI</w:t>
            </w:r>
          </w:p>
        </w:tc>
        <w:tc>
          <w:tcPr>
            <w:tcW w:type="dxa" w:w="1296"/>
            <w:tcMar>
              <w:top w:w="60" w:type="dxa"/>
              <w:bottom w:w="60" w:type="dxa"/>
              <w:left w:w="40" w:type="dxa"/>
              <w:right w:w="40" w:type="dxa"/>
            </w:tcMar>
          </w:tcPr>
          <w:p>
            <w:pPr>
              <w:jc w:val="center"/>
            </w:pPr>
            <w:r>
              <w:rPr>
                <w:sz w:val="15"/>
              </w:rPr>
              <w:t>Novembre 2026</w:t>
            </w:r>
          </w:p>
        </w:tc>
        <w:tc>
          <w:tcPr>
            <w:tcW w:type="dxa" w:w="2016"/>
            <w:tcMar>
              <w:top w:w="60" w:type="dxa"/>
              <w:bottom w:w="60" w:type="dxa"/>
              <w:left w:w="60" w:type="dxa"/>
              <w:right w:w="60" w:type="dxa"/>
            </w:tcMar>
          </w:tcPr>
          <w:p>
            <w:r>
              <w:rPr>
                <w:sz w:val="15"/>
              </w:rPr>
              <w:t>Matériels informatiques semi-fonctionnels risquant de céder à tout moment (doc PTA CLIN)</w:t>
            </w:r>
          </w:p>
        </w:tc>
        <w:tc>
          <w:tcPr>
            <w:tcW w:type="dxa" w:w="2160"/>
            <w:tcMar>
              <w:top w:w="60" w:type="dxa"/>
              <w:bottom w:w="60" w:type="dxa"/>
              <w:left w:w="60" w:type="dxa"/>
              <w:right w:w="60" w:type="dxa"/>
            </w:tcMar>
          </w:tcPr>
          <w:p>
            <w:r>
              <w:rPr>
                <w:sz w:val="15"/>
              </w:rPr>
              <w:t>Unité PCI dotée d'équipements informatiques, d'une armoire de rangement et de fournitures de bureau neufs et fonctionnels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7.2. Évaluations mensuelles et audits cliniques des pratiques de soins</w:t>
            </w:r>
          </w:p>
        </w:tc>
        <w:tc>
          <w:tcPr>
            <w:tcW w:type="dxa" w:w="3888"/>
            <w:tcMar>
              <w:top w:w="60" w:type="dxa"/>
              <w:bottom w:w="60" w:type="dxa"/>
              <w:left w:w="60" w:type="dxa"/>
              <w:right w:w="60" w:type="dxa"/>
            </w:tcMar>
          </w:tcPr>
          <w:p>
            <w:r>
              <w:rPr>
                <w:sz w:val="16"/>
              </w:rPr>
              <w:t>7.2.1. Faire une fois par mois l’évaluation de l’hygiène des mains dans les services de soins (évaluation observationnelle de l'observance sur 500 opportunités par trimestre)</w:t>
            </w:r>
          </w:p>
        </w:tc>
        <w:tc>
          <w:tcPr>
            <w:tcW w:type="dxa" w:w="1296"/>
            <w:tcMar>
              <w:top w:w="60" w:type="dxa"/>
              <w:bottom w:w="60" w:type="dxa"/>
              <w:left w:w="40" w:type="dxa"/>
              <w:right w:w="40" w:type="dxa"/>
            </w:tcMar>
          </w:tcPr>
          <w:p>
            <w:pPr>
              <w:jc w:val="center"/>
            </w:pPr>
            <w:r>
              <w:rPr>
                <w:sz w:val="15"/>
              </w:rPr>
              <w:t>EOPCI / Points focaux</w:t>
            </w:r>
          </w:p>
        </w:tc>
        <w:tc>
          <w:tcPr>
            <w:tcW w:type="dxa" w:w="1296"/>
            <w:tcMar>
              <w:top w:w="60" w:type="dxa"/>
              <w:bottom w:w="60" w:type="dxa"/>
              <w:left w:w="40" w:type="dxa"/>
              <w:right w:w="40" w:type="dxa"/>
            </w:tcMar>
          </w:tcPr>
          <w:p>
            <w:pPr>
              <w:jc w:val="center"/>
            </w:pPr>
            <w:r>
              <w:rPr>
                <w:sz w:val="15"/>
              </w:rPr>
              <w:t>Mensuel (Oct. 2026 - Sept. 2027)</w:t>
            </w:r>
          </w:p>
        </w:tc>
        <w:tc>
          <w:tcPr>
            <w:tcW w:type="dxa" w:w="2016"/>
            <w:tcMar>
              <w:top w:w="60" w:type="dxa"/>
              <w:bottom w:w="60" w:type="dxa"/>
              <w:left w:w="60" w:type="dxa"/>
              <w:right w:w="60" w:type="dxa"/>
            </w:tcMar>
          </w:tcPr>
          <w:p>
            <w:r>
              <w:rPr>
                <w:sz w:val="15"/>
              </w:rPr>
              <w:t>Taux d'observance initial méconnu ou &lt; 40%</w:t>
            </w:r>
          </w:p>
        </w:tc>
        <w:tc>
          <w:tcPr>
            <w:tcW w:type="dxa" w:w="2160"/>
            <w:tcMar>
              <w:top w:w="60" w:type="dxa"/>
              <w:bottom w:w="60" w:type="dxa"/>
              <w:left w:w="60" w:type="dxa"/>
              <w:right w:w="60" w:type="dxa"/>
            </w:tcMar>
          </w:tcPr>
          <w:p>
            <w:r>
              <w:rPr>
                <w:sz w:val="15"/>
              </w:rPr>
              <w:t>12 rapports d'évaluation mensuelle ; taux d'observance global cible supérieur à 70%</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7.2.2. Doter les services en registres d'hygiène des mains (« Registre 5 mains » : 12 unités par an pour le suivi quotidien)</w:t>
            </w:r>
          </w:p>
        </w:tc>
        <w:tc>
          <w:tcPr>
            <w:tcW w:type="dxa" w:w="1296"/>
            <w:tcMar>
              <w:top w:w="60" w:type="dxa"/>
              <w:bottom w:w="60" w:type="dxa"/>
              <w:left w:w="40" w:type="dxa"/>
              <w:right w:w="40" w:type="dxa"/>
            </w:tcMar>
          </w:tcPr>
          <w:p>
            <w:pPr>
              <w:jc w:val="center"/>
            </w:pPr>
            <w:r>
              <w:rPr>
                <w:sz w:val="15"/>
              </w:rPr>
              <w:t>Économat / EOPCI</w:t>
            </w:r>
          </w:p>
        </w:tc>
        <w:tc>
          <w:tcPr>
            <w:tcW w:type="dxa" w:w="1296"/>
            <w:tcMar>
              <w:top w:w="60" w:type="dxa"/>
              <w:bottom w:w="60" w:type="dxa"/>
              <w:left w:w="40" w:type="dxa"/>
              <w:right w:w="40" w:type="dxa"/>
            </w:tcMar>
          </w:tcPr>
          <w:p>
            <w:pPr>
              <w:jc w:val="center"/>
            </w:pPr>
            <w:r>
              <w:rPr>
                <w:sz w:val="15"/>
              </w:rPr>
              <w:t>Continu</w:t>
            </w:r>
          </w:p>
        </w:tc>
        <w:tc>
          <w:tcPr>
            <w:tcW w:type="dxa" w:w="2016"/>
            <w:tcMar>
              <w:top w:w="60" w:type="dxa"/>
              <w:bottom w:w="60" w:type="dxa"/>
              <w:left w:w="60" w:type="dxa"/>
              <w:right w:w="60" w:type="dxa"/>
            </w:tcMar>
          </w:tcPr>
          <w:p>
            <w:r>
              <w:rPr>
                <w:sz w:val="15"/>
              </w:rPr>
              <w:t>Ruptures récurrentes de registres dans les unités de soins</w:t>
            </w:r>
          </w:p>
        </w:tc>
        <w:tc>
          <w:tcPr>
            <w:tcW w:type="dxa" w:w="2160"/>
            <w:tcMar>
              <w:top w:w="60" w:type="dxa"/>
              <w:bottom w:w="60" w:type="dxa"/>
              <w:left w:w="60" w:type="dxa"/>
              <w:right w:w="60" w:type="dxa"/>
            </w:tcMar>
          </w:tcPr>
          <w:p>
            <w:r>
              <w:rPr>
                <w:sz w:val="15"/>
              </w:rPr>
              <w:t>12 registres « 5 mains » grand format livrés et régulièrement servis dans chaque pôle</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7.2.3. Réaliser des audits internes PCI trimestriels sur la gestion des cathéters veineux, la gestion des DBM et le bionettoyage dans l'ensemble des services</w:t>
            </w:r>
          </w:p>
        </w:tc>
        <w:tc>
          <w:tcPr>
            <w:tcW w:type="dxa" w:w="1296"/>
            <w:tcMar>
              <w:top w:w="60" w:type="dxa"/>
              <w:bottom w:w="60" w:type="dxa"/>
              <w:left w:w="40" w:type="dxa"/>
              <w:right w:w="40" w:type="dxa"/>
            </w:tcMar>
          </w:tcPr>
          <w:p>
            <w:pPr>
              <w:jc w:val="center"/>
            </w:pPr>
            <w:r>
              <w:rPr>
                <w:sz w:val="15"/>
              </w:rPr>
              <w:t>EOPCI / CLIN</w:t>
            </w:r>
          </w:p>
        </w:tc>
        <w:tc>
          <w:tcPr>
            <w:tcW w:type="dxa" w:w="1296"/>
            <w:tcMar>
              <w:top w:w="60" w:type="dxa"/>
              <w:bottom w:w="60" w:type="dxa"/>
              <w:left w:w="40" w:type="dxa"/>
              <w:right w:w="40" w:type="dxa"/>
            </w:tcMar>
          </w:tcPr>
          <w:p>
            <w:pPr>
              <w:jc w:val="center"/>
            </w:pPr>
            <w:r>
              <w:rPr>
                <w:sz w:val="15"/>
              </w:rPr>
              <w:t>Trimestriel (Déc. 2026, Mars, Juin, Sept. 2027)</w:t>
            </w:r>
          </w:p>
        </w:tc>
        <w:tc>
          <w:tcPr>
            <w:tcW w:type="dxa" w:w="2016"/>
            <w:tcMar>
              <w:top w:w="60" w:type="dxa"/>
              <w:bottom w:w="60" w:type="dxa"/>
              <w:left w:w="60" w:type="dxa"/>
              <w:right w:w="60" w:type="dxa"/>
            </w:tcMar>
          </w:tcPr>
          <w:p>
            <w:r>
              <w:rPr>
                <w:sz w:val="15"/>
              </w:rPr>
              <w:t>Audits cliniques sporadiques sans planification</w:t>
            </w:r>
          </w:p>
        </w:tc>
        <w:tc>
          <w:tcPr>
            <w:tcW w:type="dxa" w:w="2160"/>
            <w:tcMar>
              <w:top w:w="60" w:type="dxa"/>
              <w:bottom w:w="60" w:type="dxa"/>
              <w:left w:w="60" w:type="dxa"/>
              <w:right w:w="60" w:type="dxa"/>
            </w:tcMar>
          </w:tcPr>
          <w:p>
            <w:r>
              <w:rPr>
                <w:sz w:val="15"/>
              </w:rPr>
              <w:t>4 rapports d'audit interne produits assortis de plans de correction validés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7.2.4. Réaliser un suivi mensuel de la qualité de la gestion des déchets biomédicaux dans les services</w:t>
            </w:r>
          </w:p>
        </w:tc>
        <w:tc>
          <w:tcPr>
            <w:tcW w:type="dxa" w:w="1296"/>
            <w:tcMar>
              <w:top w:w="60" w:type="dxa"/>
              <w:bottom w:w="60" w:type="dxa"/>
              <w:left w:w="40" w:type="dxa"/>
              <w:right w:w="40" w:type="dxa"/>
            </w:tcMar>
          </w:tcPr>
          <w:p>
            <w:pPr>
              <w:jc w:val="center"/>
            </w:pPr>
            <w:r>
              <w:rPr>
                <w:sz w:val="15"/>
              </w:rPr>
              <w:t>EOPCI / Points focaux / Responsable Salubrité</w:t>
            </w:r>
          </w:p>
        </w:tc>
        <w:tc>
          <w:tcPr>
            <w:tcW w:type="dxa" w:w="1296"/>
            <w:tcMar>
              <w:top w:w="60" w:type="dxa"/>
              <w:bottom w:w="60" w:type="dxa"/>
              <w:left w:w="40" w:type="dxa"/>
              <w:right w:w="40" w:type="dxa"/>
            </w:tcMar>
          </w:tcPr>
          <w:p>
            <w:pPr>
              <w:jc w:val="center"/>
            </w:pPr>
            <w:r>
              <w:rPr>
                <w:sz w:val="15"/>
              </w:rPr>
              <w:t>Mensuel (Continu)</w:t>
            </w:r>
          </w:p>
        </w:tc>
        <w:tc>
          <w:tcPr>
            <w:tcW w:type="dxa" w:w="2016"/>
            <w:tcMar>
              <w:top w:w="60" w:type="dxa"/>
              <w:bottom w:w="60" w:type="dxa"/>
              <w:left w:w="60" w:type="dxa"/>
              <w:right w:w="60" w:type="dxa"/>
            </w:tcMar>
          </w:tcPr>
          <w:p>
            <w:r>
              <w:rPr>
                <w:sz w:val="15"/>
              </w:rPr>
              <w:t>Suivi irrégulier de la qualité du tri</w:t>
            </w:r>
          </w:p>
        </w:tc>
        <w:tc>
          <w:tcPr>
            <w:tcW w:type="dxa" w:w="2160"/>
            <w:tcMar>
              <w:top w:w="60" w:type="dxa"/>
              <w:bottom w:w="60" w:type="dxa"/>
              <w:left w:w="60" w:type="dxa"/>
              <w:right w:w="60" w:type="dxa"/>
            </w:tcMar>
          </w:tcPr>
          <w:p>
            <w:r>
              <w:rPr>
                <w:sz w:val="15"/>
              </w:rPr>
              <w:t>12 grilles mensuelles d'évaluation de la qualité du tri et conditionnement des DBM renseignées avec score &gt; 85%</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2304"/>
            <w:shd w:fill="F2F2F2"/>
            <w:tcMar>
              <w:top w:w="60" w:type="dxa"/>
              <w:bottom w:w="60" w:type="dxa"/>
              <w:left w:w="60" w:type="dxa"/>
              <w:right w:w="60" w:type="dxa"/>
            </w:tcMar>
          </w:tcPr>
          <w:p>
            <w:r>
              <w:rPr>
                <w:b/>
                <w:sz w:val="15"/>
              </w:rPr>
              <w:t>7.3. Restitution des résultats et retour d'information (feedback)</w:t>
            </w:r>
          </w:p>
        </w:tc>
        <w:tc>
          <w:tcPr>
            <w:tcW w:type="dxa" w:w="3888"/>
            <w:tcMar>
              <w:top w:w="60" w:type="dxa"/>
              <w:bottom w:w="60" w:type="dxa"/>
              <w:left w:w="60" w:type="dxa"/>
              <w:right w:w="60" w:type="dxa"/>
            </w:tcMar>
          </w:tcPr>
          <w:p>
            <w:r>
              <w:rPr>
                <w:sz w:val="16"/>
              </w:rPr>
              <w:t>7.3.1. Élaborer un plan de restitution des audits aux parties prenantes et animer les réunions trimestrielles de restitution et retour d'information (feedback)</w:t>
            </w:r>
          </w:p>
        </w:tc>
        <w:tc>
          <w:tcPr>
            <w:tcW w:type="dxa" w:w="1296"/>
            <w:tcMar>
              <w:top w:w="60" w:type="dxa"/>
              <w:bottom w:w="60" w:type="dxa"/>
              <w:left w:w="40" w:type="dxa"/>
              <w:right w:w="40" w:type="dxa"/>
            </w:tcMar>
          </w:tcPr>
          <w:p>
            <w:pPr>
              <w:jc w:val="center"/>
            </w:pPr>
            <w:r>
              <w:rPr>
                <w:sz w:val="15"/>
              </w:rPr>
              <w:t>EOPCI / CLIN</w:t>
            </w:r>
          </w:p>
        </w:tc>
        <w:tc>
          <w:tcPr>
            <w:tcW w:type="dxa" w:w="1296"/>
            <w:tcMar>
              <w:top w:w="60" w:type="dxa"/>
              <w:bottom w:w="60" w:type="dxa"/>
              <w:left w:w="40" w:type="dxa"/>
              <w:right w:w="40" w:type="dxa"/>
            </w:tcMar>
          </w:tcPr>
          <w:p>
            <w:pPr>
              <w:jc w:val="center"/>
            </w:pPr>
            <w:r>
              <w:rPr>
                <w:sz w:val="15"/>
              </w:rPr>
              <w:t>Novembre 2026 puis Trimestriel</w:t>
            </w:r>
          </w:p>
        </w:tc>
        <w:tc>
          <w:tcPr>
            <w:tcW w:type="dxa" w:w="2016"/>
            <w:tcMar>
              <w:top w:w="60" w:type="dxa"/>
              <w:bottom w:w="60" w:type="dxa"/>
              <w:left w:w="60" w:type="dxa"/>
              <w:right w:w="60" w:type="dxa"/>
            </w:tcMar>
          </w:tcPr>
          <w:p>
            <w:r>
              <w:rPr>
                <w:sz w:val="15"/>
              </w:rPr>
              <w:t>Absence de circuit formalisé de feedback des résultats aux équipes soignantes</w:t>
            </w:r>
          </w:p>
        </w:tc>
        <w:tc>
          <w:tcPr>
            <w:tcW w:type="dxa" w:w="2160"/>
            <w:tcMar>
              <w:top w:w="60" w:type="dxa"/>
              <w:bottom w:w="60" w:type="dxa"/>
              <w:left w:w="60" w:type="dxa"/>
              <w:right w:w="60" w:type="dxa"/>
            </w:tcMar>
          </w:tcPr>
          <w:p>
            <w:r>
              <w:rPr>
                <w:sz w:val="15"/>
              </w:rPr>
              <w:t>Plan de restitution validé et 4 réunions trimestrielles de feedback tenues auprès des chefs de pôles et majors</w:t>
            </w:r>
          </w:p>
        </w:tc>
        <w:tc>
          <w:tcPr>
            <w:tcW w:type="dxa" w:w="1152"/>
            <w:tcMar>
              <w:top w:w="60" w:type="dxa"/>
              <w:bottom w:w="60" w:type="dxa"/>
              <w:left w:w="40" w:type="dxa"/>
              <w:right w:w="40" w:type="dxa"/>
            </w:tcMar>
          </w:tcPr>
          <w:p>
            <w:pPr>
              <w:jc w:val="center"/>
            </w:pPr>
            <w:r>
              <w:rPr>
                <w:b/>
                <w:sz w:val="15"/>
              </w:rPr>
              <w:t>FP</w:t>
            </w:r>
          </w:p>
        </w:tc>
      </w:tr>
      <w:tr>
        <w:trPr>
          <w:cantSplit/>
        </w:trPr>
        <w:tc>
          <w:tcPr>
            <w:tcW w:type="dxa" w:w="1872"/>
            <w:vMerge w:val="restart"/>
            <w:shd w:fill="D9E1F2"/>
            <w:tcMar>
              <w:top w:w="60" w:type="dxa"/>
              <w:bottom w:w="60" w:type="dxa"/>
              <w:left w:w="60" w:type="dxa"/>
              <w:right w:w="60" w:type="dxa"/>
            </w:tcMar>
          </w:tcPr>
          <w:p>
            <w:r>
              <w:rPr>
                <w:b/>
                <w:color w:val="1B365D"/>
                <w:sz w:val="17"/>
              </w:rPr>
              <w:t>VIII. CHARGES DE TRAVAIL, DOTATION EN PERSONNEL, GESTION DES DÉCHETS BIOMÉDICAUX ET ENVIRONNEMENT BÂTI (WASH)</w:t>
            </w:r>
          </w:p>
        </w:tc>
        <w:tc>
          <w:tcPr>
            <w:tcW w:type="dxa" w:w="2304"/>
            <w:vMerge w:val="restart"/>
            <w:shd w:fill="F2F2F2"/>
            <w:tcMar>
              <w:top w:w="60" w:type="dxa"/>
              <w:bottom w:w="60" w:type="dxa"/>
              <w:left w:w="60" w:type="dxa"/>
              <w:right w:w="60" w:type="dxa"/>
            </w:tcMar>
          </w:tcPr>
          <w:p>
            <w:r>
              <w:rPr>
                <w:b/>
                <w:sz w:val="15"/>
              </w:rPr>
              <w:t>8.1. Charge de travail, dotation en personnel, fiches de poste et organisation</w:t>
            </w:r>
          </w:p>
        </w:tc>
        <w:tc>
          <w:tcPr>
            <w:tcW w:type="dxa" w:w="3888"/>
            <w:tcMar>
              <w:top w:w="60" w:type="dxa"/>
              <w:bottom w:w="60" w:type="dxa"/>
              <w:left w:w="60" w:type="dxa"/>
              <w:right w:w="60" w:type="dxa"/>
            </w:tcMar>
          </w:tcPr>
          <w:p>
            <w:r>
              <w:rPr>
                <w:sz w:val="16"/>
              </w:rPr>
              <w:t>8.1.1. Faire l’évaluation de la charge de travail, du niveau de dotation en personnel soignant au CHUMEL, ainsi que de l’occupation des lits et de leurs espacements dans les pôles d'hospitalisation</w:t>
            </w:r>
          </w:p>
        </w:tc>
        <w:tc>
          <w:tcPr>
            <w:tcW w:type="dxa" w:w="1296"/>
            <w:tcMar>
              <w:top w:w="60" w:type="dxa"/>
              <w:bottom w:w="60" w:type="dxa"/>
              <w:left w:w="40" w:type="dxa"/>
              <w:right w:w="40" w:type="dxa"/>
            </w:tcMar>
          </w:tcPr>
          <w:p>
            <w:pPr>
              <w:jc w:val="center"/>
            </w:pPr>
            <w:r>
              <w:rPr>
                <w:sz w:val="15"/>
              </w:rPr>
              <w:t>EOPCI / DSIO / DRH</w:t>
            </w:r>
          </w:p>
        </w:tc>
        <w:tc>
          <w:tcPr>
            <w:tcW w:type="dxa" w:w="1296"/>
            <w:tcMar>
              <w:top w:w="60" w:type="dxa"/>
              <w:bottom w:w="60" w:type="dxa"/>
              <w:left w:w="40" w:type="dxa"/>
              <w:right w:w="40" w:type="dxa"/>
            </w:tcMar>
          </w:tcPr>
          <w:p>
            <w:pPr>
              <w:jc w:val="center"/>
            </w:pPr>
            <w:r>
              <w:rPr>
                <w:sz w:val="15"/>
              </w:rPr>
              <w:t>Janvier - Février 2027</w:t>
            </w:r>
          </w:p>
        </w:tc>
        <w:tc>
          <w:tcPr>
            <w:tcW w:type="dxa" w:w="2016"/>
            <w:tcMar>
              <w:top w:w="60" w:type="dxa"/>
              <w:bottom w:w="60" w:type="dxa"/>
              <w:left w:w="60" w:type="dxa"/>
              <w:right w:w="60" w:type="dxa"/>
            </w:tcMar>
          </w:tcPr>
          <w:p>
            <w:r>
              <w:rPr>
                <w:sz w:val="15"/>
              </w:rPr>
              <w:t>Promiscuité des lits et surcharge de travail non quantifiées objectivement</w:t>
            </w:r>
          </w:p>
        </w:tc>
        <w:tc>
          <w:tcPr>
            <w:tcW w:type="dxa" w:w="2160"/>
            <w:tcMar>
              <w:top w:w="60" w:type="dxa"/>
              <w:bottom w:w="60" w:type="dxa"/>
              <w:left w:w="60" w:type="dxa"/>
              <w:right w:w="60" w:type="dxa"/>
            </w:tcMar>
          </w:tcPr>
          <w:p>
            <w:r>
              <w:rPr>
                <w:sz w:val="15"/>
              </w:rPr>
              <w:t>Rapport d'évaluation disponible préconisant le respect de l'espacement minimal d'1 mètre et l'adaptation des ratios soignants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8.1.2. Élaborer et formaliser la description des tâches (fiches de poste) relatives à la PCI pour chaque profil professionnel (médecins, sages-femmes, infirmiers, aides-soignants, agents d'entretien)</w:t>
            </w:r>
          </w:p>
        </w:tc>
        <w:tc>
          <w:tcPr>
            <w:tcW w:type="dxa" w:w="1296"/>
            <w:tcMar>
              <w:top w:w="60" w:type="dxa"/>
              <w:bottom w:w="60" w:type="dxa"/>
              <w:left w:w="40" w:type="dxa"/>
              <w:right w:w="40" w:type="dxa"/>
            </w:tcMar>
          </w:tcPr>
          <w:p>
            <w:pPr>
              <w:jc w:val="center"/>
            </w:pPr>
            <w:r>
              <w:rPr>
                <w:sz w:val="15"/>
              </w:rPr>
              <w:t>DRH / EOPCI / CLIN</w:t>
            </w:r>
          </w:p>
        </w:tc>
        <w:tc>
          <w:tcPr>
            <w:tcW w:type="dxa" w:w="1296"/>
            <w:tcMar>
              <w:top w:w="60" w:type="dxa"/>
              <w:bottom w:w="60" w:type="dxa"/>
              <w:left w:w="40" w:type="dxa"/>
              <w:right w:w="40" w:type="dxa"/>
            </w:tcMar>
          </w:tcPr>
          <w:p>
            <w:pPr>
              <w:jc w:val="center"/>
            </w:pPr>
            <w:r>
              <w:rPr>
                <w:sz w:val="15"/>
              </w:rPr>
              <w:t>Février - Mars 2027</w:t>
            </w:r>
          </w:p>
        </w:tc>
        <w:tc>
          <w:tcPr>
            <w:tcW w:type="dxa" w:w="2016"/>
            <w:tcMar>
              <w:top w:w="60" w:type="dxa"/>
              <w:bottom w:w="60" w:type="dxa"/>
              <w:left w:w="60" w:type="dxa"/>
              <w:right w:w="60" w:type="dxa"/>
            </w:tcMar>
          </w:tcPr>
          <w:p>
            <w:r>
              <w:rPr>
                <w:sz w:val="15"/>
              </w:rPr>
              <w:t>Fiches de poste existantes muettes sur les obligations de PCI</w:t>
            </w:r>
          </w:p>
        </w:tc>
        <w:tc>
          <w:tcPr>
            <w:tcW w:type="dxa" w:w="2160"/>
            <w:tcMar>
              <w:top w:w="60" w:type="dxa"/>
              <w:bottom w:w="60" w:type="dxa"/>
              <w:left w:w="60" w:type="dxa"/>
              <w:right w:w="60" w:type="dxa"/>
            </w:tcMar>
          </w:tcPr>
          <w:p>
            <w:r>
              <w:rPr>
                <w:sz w:val="15"/>
              </w:rPr>
              <w:t>100% des fiches de poste révisées intégrant les tâches et responsabilités explicites en PCI</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8.2. Gestion sécurisée et filière d'élimination des Déchets Biomédicaux (DBM)</w:t>
            </w:r>
          </w:p>
        </w:tc>
        <w:tc>
          <w:tcPr>
            <w:tcW w:type="dxa" w:w="3888"/>
            <w:tcMar>
              <w:top w:w="60" w:type="dxa"/>
              <w:bottom w:w="60" w:type="dxa"/>
              <w:left w:w="60" w:type="dxa"/>
              <w:right w:w="60" w:type="dxa"/>
            </w:tcMar>
          </w:tcPr>
          <w:p>
            <w:r>
              <w:rPr>
                <w:sz w:val="16"/>
              </w:rPr>
              <w:t>8.2.1. Superviser mensuellement la gestion des déchets biomédicaux dans les services (tri à la source, conditionnement en sacs jaunes, pesée/tonnage, transport interne et stockage temporaire)</w:t>
            </w:r>
          </w:p>
        </w:tc>
        <w:tc>
          <w:tcPr>
            <w:tcW w:type="dxa" w:w="1296"/>
            <w:tcMar>
              <w:top w:w="60" w:type="dxa"/>
              <w:bottom w:w="60" w:type="dxa"/>
              <w:left w:w="40" w:type="dxa"/>
              <w:right w:w="40" w:type="dxa"/>
            </w:tcMar>
          </w:tcPr>
          <w:p>
            <w:pPr>
              <w:jc w:val="center"/>
            </w:pPr>
            <w:r>
              <w:rPr>
                <w:sz w:val="15"/>
              </w:rPr>
              <w:t>EOPCI / Service Salubrité</w:t>
            </w:r>
          </w:p>
        </w:tc>
        <w:tc>
          <w:tcPr>
            <w:tcW w:type="dxa" w:w="1296"/>
            <w:tcMar>
              <w:top w:w="60" w:type="dxa"/>
              <w:bottom w:w="60" w:type="dxa"/>
              <w:left w:w="40" w:type="dxa"/>
              <w:right w:w="40" w:type="dxa"/>
            </w:tcMar>
          </w:tcPr>
          <w:p>
            <w:pPr>
              <w:jc w:val="center"/>
            </w:pPr>
            <w:r>
              <w:rPr>
                <w:sz w:val="15"/>
              </w:rPr>
              <w:t>Mensuel (Continu)</w:t>
            </w:r>
          </w:p>
        </w:tc>
        <w:tc>
          <w:tcPr>
            <w:tcW w:type="dxa" w:w="2016"/>
            <w:tcMar>
              <w:top w:w="60" w:type="dxa"/>
              <w:bottom w:w="60" w:type="dxa"/>
              <w:left w:w="60" w:type="dxa"/>
              <w:right w:w="60" w:type="dxa"/>
            </w:tcMar>
          </w:tcPr>
          <w:p>
            <w:r>
              <w:rPr>
                <w:sz w:val="15"/>
              </w:rPr>
              <w:t>Mélanges fréquents de déchets et ruptures de sacs poubelles</w:t>
            </w:r>
          </w:p>
        </w:tc>
        <w:tc>
          <w:tcPr>
            <w:tcW w:type="dxa" w:w="2160"/>
            <w:tcMar>
              <w:top w:w="60" w:type="dxa"/>
              <w:bottom w:w="60" w:type="dxa"/>
              <w:left w:w="60" w:type="dxa"/>
              <w:right w:w="60" w:type="dxa"/>
            </w:tcMar>
          </w:tcPr>
          <w:p>
            <w:r>
              <w:rPr>
                <w:sz w:val="15"/>
              </w:rPr>
              <w:t>12 rapports mensuels de supervision ; taux de conformité du tri à la source supérieur à 80%</w:t>
            </w:r>
          </w:p>
        </w:tc>
        <w:tc>
          <w:tcPr>
            <w:tcW w:type="dxa" w:w="1152"/>
            <w:tcMar>
              <w:top w:w="60" w:type="dxa"/>
              <w:bottom w:w="60" w:type="dxa"/>
              <w:left w:w="40" w:type="dxa"/>
              <w:right w:w="40" w:type="dxa"/>
            </w:tcMar>
          </w:tcPr>
          <w:p>
            <w:pPr>
              <w:jc w:val="center"/>
            </w:pPr>
            <w:r>
              <w:rPr>
                <w:sz w:val="15"/>
              </w:rPr>
              <w:t>Néant</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8.2.2. Sensibiliser et former le personnel soignant et d'entretien sur le tri rigoureux et la gestion sécurisée des déchets biomédicaux</w:t>
            </w:r>
          </w:p>
        </w:tc>
        <w:tc>
          <w:tcPr>
            <w:tcW w:type="dxa" w:w="1296"/>
            <w:tcMar>
              <w:top w:w="60" w:type="dxa"/>
              <w:bottom w:w="60" w:type="dxa"/>
              <w:left w:w="40" w:type="dxa"/>
              <w:right w:w="40" w:type="dxa"/>
            </w:tcMar>
          </w:tcPr>
          <w:p>
            <w:pPr>
              <w:jc w:val="center"/>
            </w:pPr>
            <w:r>
              <w:rPr>
                <w:sz w:val="15"/>
              </w:rPr>
              <w:t>Formateurs internes / EOPCI</w:t>
            </w:r>
          </w:p>
        </w:tc>
        <w:tc>
          <w:tcPr>
            <w:tcW w:type="dxa" w:w="1296"/>
            <w:tcMar>
              <w:top w:w="60" w:type="dxa"/>
              <w:bottom w:w="60" w:type="dxa"/>
              <w:left w:w="40" w:type="dxa"/>
              <w:right w:w="40" w:type="dxa"/>
            </w:tcMar>
          </w:tcPr>
          <w:p>
            <w:pPr>
              <w:jc w:val="center"/>
            </w:pPr>
            <w:r>
              <w:rPr>
                <w:sz w:val="15"/>
              </w:rPr>
              <w:t>Décembre 2026 - Mai 2027</w:t>
            </w:r>
          </w:p>
        </w:tc>
        <w:tc>
          <w:tcPr>
            <w:tcW w:type="dxa" w:w="2016"/>
            <w:tcMar>
              <w:top w:w="60" w:type="dxa"/>
              <w:bottom w:w="60" w:type="dxa"/>
              <w:left w:w="60" w:type="dxa"/>
              <w:right w:w="60" w:type="dxa"/>
            </w:tcMar>
          </w:tcPr>
          <w:p>
            <w:r>
              <w:rPr>
                <w:sz w:val="15"/>
              </w:rPr>
              <w:t>Personnel insuffisamment formé aux risques liés aux DBM et AES</w:t>
            </w:r>
          </w:p>
        </w:tc>
        <w:tc>
          <w:tcPr>
            <w:tcW w:type="dxa" w:w="2160"/>
            <w:tcMar>
              <w:top w:w="60" w:type="dxa"/>
              <w:bottom w:w="60" w:type="dxa"/>
              <w:left w:w="60" w:type="dxa"/>
              <w:right w:w="60" w:type="dxa"/>
            </w:tcMar>
          </w:tcPr>
          <w:p>
            <w:r>
              <w:rPr>
                <w:sz w:val="15"/>
              </w:rPr>
              <w:t>400 professionnels de santé et d'entretien sensibilisés et formés à la manipulation des DBM</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8.2.3. Superviser la disponibilité des équipements du lavage des mains, du bionettoyage, du lavage et stérilisation des linges et équipements médicaux (dont 50 poubelles à pédale neuves et peson de tonnage)</w:t>
            </w:r>
          </w:p>
        </w:tc>
        <w:tc>
          <w:tcPr>
            <w:tcW w:type="dxa" w:w="1296"/>
            <w:tcMar>
              <w:top w:w="60" w:type="dxa"/>
              <w:bottom w:w="60" w:type="dxa"/>
              <w:left w:w="40" w:type="dxa"/>
              <w:right w:w="40" w:type="dxa"/>
            </w:tcMar>
          </w:tcPr>
          <w:p>
            <w:pPr>
              <w:jc w:val="center"/>
            </w:pPr>
            <w:r>
              <w:rPr>
                <w:sz w:val="15"/>
              </w:rPr>
              <w:t>DAF / Économat / EOPCI / Surveillant Général</w:t>
            </w:r>
          </w:p>
        </w:tc>
        <w:tc>
          <w:tcPr>
            <w:tcW w:type="dxa" w:w="1296"/>
            <w:tcMar>
              <w:top w:w="60" w:type="dxa"/>
              <w:bottom w:w="60" w:type="dxa"/>
              <w:left w:w="40" w:type="dxa"/>
              <w:right w:w="40" w:type="dxa"/>
            </w:tcMar>
          </w:tcPr>
          <w:p>
            <w:pPr>
              <w:jc w:val="center"/>
            </w:pPr>
            <w:r>
              <w:rPr>
                <w:sz w:val="15"/>
              </w:rPr>
              <w:t>Novembre - Décembre 2026 puis continu</w:t>
            </w:r>
          </w:p>
        </w:tc>
        <w:tc>
          <w:tcPr>
            <w:tcW w:type="dxa" w:w="2016"/>
            <w:tcMar>
              <w:top w:w="60" w:type="dxa"/>
              <w:bottom w:w="60" w:type="dxa"/>
              <w:left w:w="60" w:type="dxa"/>
              <w:right w:w="60" w:type="dxa"/>
            </w:tcMar>
          </w:tcPr>
          <w:p>
            <w:r>
              <w:rPr>
                <w:sz w:val="15"/>
              </w:rPr>
              <w:t>Poubelles vétustes, absence de pédale sur plusieurs postes, absence de pesée systématique</w:t>
            </w:r>
          </w:p>
        </w:tc>
        <w:tc>
          <w:tcPr>
            <w:tcW w:type="dxa" w:w="2160"/>
            <w:tcMar>
              <w:top w:w="60" w:type="dxa"/>
              <w:bottom w:w="60" w:type="dxa"/>
              <w:left w:w="60" w:type="dxa"/>
              <w:right w:w="60" w:type="dxa"/>
            </w:tcMar>
          </w:tcPr>
          <w:p>
            <w:r>
              <w:rPr>
                <w:sz w:val="15"/>
              </w:rPr>
              <w:t>Grilles d'inventaire trimestrielles ; 50 poubelles à pédale neuves et 1 système de pesage/tonnage fonctionnels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8.2.4. Faire installer un incinérateur hospitalier fonctionnel et de capacité suffisante :</w:t>
              <w:br/>
              <w:t>- Réaliser l'audit technique de dimensionnement et le cahier des charges d'appel d'offres</w:t>
              <w:br/>
              <w:t>- Conduire les démarches de financement et plaidoyer auprès du Ministère de la Santé et des PTF</w:t>
              <w:br/>
              <w:t>- Réaliser les travaux de génie civil et d'installation de l'incinérateur pyrolytique moderne</w:t>
            </w:r>
          </w:p>
        </w:tc>
        <w:tc>
          <w:tcPr>
            <w:tcW w:type="dxa" w:w="1296"/>
            <w:tcMar>
              <w:top w:w="60" w:type="dxa"/>
              <w:bottom w:w="60" w:type="dxa"/>
              <w:left w:w="40" w:type="dxa"/>
              <w:right w:w="40" w:type="dxa"/>
            </w:tcMar>
          </w:tcPr>
          <w:p>
            <w:pPr>
              <w:jc w:val="center"/>
            </w:pPr>
            <w:r>
              <w:rPr>
                <w:sz w:val="15"/>
              </w:rPr>
              <w:t>DG / DST / Ministère de la Santé / PTF</w:t>
            </w:r>
          </w:p>
        </w:tc>
        <w:tc>
          <w:tcPr>
            <w:tcW w:type="dxa" w:w="1296"/>
            <w:tcMar>
              <w:top w:w="60" w:type="dxa"/>
              <w:bottom w:w="60" w:type="dxa"/>
              <w:left w:w="40" w:type="dxa"/>
              <w:right w:w="40" w:type="dxa"/>
            </w:tcMar>
          </w:tcPr>
          <w:p>
            <w:pPr>
              <w:jc w:val="center"/>
            </w:pPr>
            <w:r>
              <w:rPr>
                <w:sz w:val="15"/>
              </w:rPr>
              <w:t>Janvier - Août 2027</w:t>
            </w:r>
          </w:p>
        </w:tc>
        <w:tc>
          <w:tcPr>
            <w:tcW w:type="dxa" w:w="2016"/>
            <w:tcMar>
              <w:top w:w="60" w:type="dxa"/>
              <w:bottom w:w="60" w:type="dxa"/>
              <w:left w:w="60" w:type="dxa"/>
              <w:right w:w="60" w:type="dxa"/>
            </w:tcMar>
          </w:tcPr>
          <w:p>
            <w:r>
              <w:rPr>
                <w:sz w:val="15"/>
              </w:rPr>
              <w:t>Traitement non optimal des DBM / incinérateur défaillant</w:t>
            </w:r>
          </w:p>
        </w:tc>
        <w:tc>
          <w:tcPr>
            <w:tcW w:type="dxa" w:w="2160"/>
            <w:tcMar>
              <w:top w:w="60" w:type="dxa"/>
              <w:bottom w:w="60" w:type="dxa"/>
              <w:left w:w="60" w:type="dxa"/>
              <w:right w:w="60" w:type="dxa"/>
            </w:tcMar>
          </w:tcPr>
          <w:p>
            <w:r>
              <w:rPr>
                <w:sz w:val="15"/>
              </w:rPr>
              <w:t>Dossier technique finalisé, financements mobilisés et incinérateur de capacité suffisante réceptionné</w:t>
            </w:r>
          </w:p>
        </w:tc>
        <w:tc>
          <w:tcPr>
            <w:tcW w:type="dxa" w:w="1152"/>
            <w:tcMar>
              <w:top w:w="60" w:type="dxa"/>
              <w:bottom w:w="60" w:type="dxa"/>
              <w:left w:w="40" w:type="dxa"/>
              <w:right w:w="40" w:type="dxa"/>
            </w:tcMar>
          </w:tcPr>
          <w:p>
            <w:pPr>
              <w:jc w:val="center"/>
            </w:pPr>
            <w:r>
              <w:rPr>
                <w:b/>
                <w:sz w:val="15"/>
              </w:rPr>
              <w:t>FP (études) / PTF-État (travaux)</w:t>
            </w:r>
          </w:p>
        </w:tc>
      </w:tr>
      <w:tr>
        <w:trPr>
          <w:cantSplit/>
        </w:trPr>
        <w:tc>
          <w:tcPr>
            <w:tcW w:type="dxa" w:w="1888"/>
            <w:vMerge/>
          </w:tcPr>
          <w:p/>
        </w:tc>
        <w:tc>
          <w:tcPr>
            <w:tcW w:type="dxa" w:w="2304"/>
            <w:vMerge w:val="restart"/>
            <w:shd w:fill="F2F2F2"/>
            <w:tcMar>
              <w:top w:w="60" w:type="dxa"/>
              <w:bottom w:w="60" w:type="dxa"/>
              <w:left w:w="60" w:type="dxa"/>
              <w:right w:w="60" w:type="dxa"/>
            </w:tcMar>
          </w:tcPr>
          <w:p>
            <w:r>
              <w:rPr>
                <w:b/>
                <w:sz w:val="15"/>
              </w:rPr>
              <w:t>8.3. Eau, assainissement, contrôle des désinfectants et approvisionnement en consommables (WASH)</w:t>
            </w:r>
          </w:p>
        </w:tc>
        <w:tc>
          <w:tcPr>
            <w:tcW w:type="dxa" w:w="3888"/>
            <w:tcMar>
              <w:top w:w="60" w:type="dxa"/>
              <w:bottom w:w="60" w:type="dxa"/>
              <w:left w:w="60" w:type="dxa"/>
              <w:right w:w="60" w:type="dxa"/>
            </w:tcMar>
          </w:tcPr>
          <w:p>
            <w:r>
              <w:rPr>
                <w:sz w:val="16"/>
              </w:rPr>
              <w:t>8.3.1. Vérifier la qualité de l’eau une fois par an (analyses physico-chimiques et bactériologiques des forages, réservoirs de stockage et robinets de soins par un laboratoire agréé)</w:t>
            </w:r>
          </w:p>
        </w:tc>
        <w:tc>
          <w:tcPr>
            <w:tcW w:type="dxa" w:w="1296"/>
            <w:tcMar>
              <w:top w:w="60" w:type="dxa"/>
              <w:bottom w:w="60" w:type="dxa"/>
              <w:left w:w="40" w:type="dxa"/>
              <w:right w:w="40" w:type="dxa"/>
            </w:tcMar>
          </w:tcPr>
          <w:p>
            <w:pPr>
              <w:jc w:val="center"/>
            </w:pPr>
            <w:r>
              <w:rPr>
                <w:sz w:val="15"/>
              </w:rPr>
              <w:t>EOPCI / DST / Laboratoire d'Hygiène de l'Eau</w:t>
            </w:r>
          </w:p>
        </w:tc>
        <w:tc>
          <w:tcPr>
            <w:tcW w:type="dxa" w:w="1296"/>
            <w:tcMar>
              <w:top w:w="60" w:type="dxa"/>
              <w:bottom w:w="60" w:type="dxa"/>
              <w:left w:w="40" w:type="dxa"/>
              <w:right w:w="40" w:type="dxa"/>
            </w:tcMar>
          </w:tcPr>
          <w:p>
            <w:pPr>
              <w:jc w:val="center"/>
            </w:pPr>
            <w:r>
              <w:rPr>
                <w:sz w:val="15"/>
              </w:rPr>
              <w:t>Mars 2027</w:t>
            </w:r>
          </w:p>
        </w:tc>
        <w:tc>
          <w:tcPr>
            <w:tcW w:type="dxa" w:w="2016"/>
            <w:tcMar>
              <w:top w:w="60" w:type="dxa"/>
              <w:bottom w:w="60" w:type="dxa"/>
              <w:left w:w="60" w:type="dxa"/>
              <w:right w:w="60" w:type="dxa"/>
            </w:tcMar>
          </w:tcPr>
          <w:p>
            <w:r>
              <w:rPr>
                <w:sz w:val="15"/>
              </w:rPr>
              <w:t>Absence de contrôle bactériologique annuel certifié</w:t>
            </w:r>
          </w:p>
        </w:tc>
        <w:tc>
          <w:tcPr>
            <w:tcW w:type="dxa" w:w="2160"/>
            <w:tcMar>
              <w:top w:w="60" w:type="dxa"/>
              <w:bottom w:w="60" w:type="dxa"/>
              <w:left w:w="60" w:type="dxa"/>
              <w:right w:w="60" w:type="dxa"/>
            </w:tcMar>
          </w:tcPr>
          <w:p>
            <w:r>
              <w:rPr>
                <w:sz w:val="15"/>
              </w:rPr>
              <w:t>Rapport officiel attestant la potabilité de l'eau distribuée délivré et mesures correctives prises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8.3.2. Vérifier la qualité et la concentration des matériels et produits de désinfection (titrage régulier du chlore actif de l'eau de javel et conformité des solutions hydro-alcooliques)</w:t>
            </w:r>
          </w:p>
        </w:tc>
        <w:tc>
          <w:tcPr>
            <w:tcW w:type="dxa" w:w="1296"/>
            <w:tcMar>
              <w:top w:w="60" w:type="dxa"/>
              <w:bottom w:w="60" w:type="dxa"/>
              <w:left w:w="40" w:type="dxa"/>
              <w:right w:w="40" w:type="dxa"/>
            </w:tcMar>
          </w:tcPr>
          <w:p>
            <w:pPr>
              <w:jc w:val="center"/>
            </w:pPr>
            <w:r>
              <w:rPr>
                <w:sz w:val="15"/>
              </w:rPr>
              <w:t>Pharmacie hospitalière / Laboratoire / EOPCI</w:t>
            </w:r>
          </w:p>
        </w:tc>
        <w:tc>
          <w:tcPr>
            <w:tcW w:type="dxa" w:w="1296"/>
            <w:tcMar>
              <w:top w:w="60" w:type="dxa"/>
              <w:bottom w:w="60" w:type="dxa"/>
              <w:left w:w="40" w:type="dxa"/>
              <w:right w:w="40" w:type="dxa"/>
            </w:tcMar>
          </w:tcPr>
          <w:p>
            <w:pPr>
              <w:jc w:val="center"/>
            </w:pPr>
            <w:r>
              <w:rPr>
                <w:sz w:val="15"/>
              </w:rPr>
              <w:t>Trimestriel (Nov. 2026, Fév., Mai, Août 2027)</w:t>
            </w:r>
          </w:p>
        </w:tc>
        <w:tc>
          <w:tcPr>
            <w:tcW w:type="dxa" w:w="2016"/>
            <w:tcMar>
              <w:top w:w="60" w:type="dxa"/>
              <w:bottom w:w="60" w:type="dxa"/>
              <w:left w:w="60" w:type="dxa"/>
              <w:right w:w="60" w:type="dxa"/>
            </w:tcMar>
          </w:tcPr>
          <w:p>
            <w:r>
              <w:rPr>
                <w:sz w:val="15"/>
              </w:rPr>
              <w:t>Dilutions artisanales non titrées au chloromètre</w:t>
            </w:r>
          </w:p>
        </w:tc>
        <w:tc>
          <w:tcPr>
            <w:tcW w:type="dxa" w:w="2160"/>
            <w:tcMar>
              <w:top w:w="60" w:type="dxa"/>
              <w:bottom w:w="60" w:type="dxa"/>
              <w:left w:w="60" w:type="dxa"/>
              <w:right w:w="60" w:type="dxa"/>
            </w:tcMar>
          </w:tcPr>
          <w:p>
            <w:r>
              <w:rPr>
                <w:sz w:val="15"/>
              </w:rPr>
              <w:t>4 rapports trimestriels de contrôle de qualité et de titrage du chlore actif validés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8.3.3. Acquérir et installer 20 dispositifs ergonomiques de lavage des mains avec robinetterie non manuelle (commande au coude ou à pédale) dans les zones critiques dépourvues de points d'eau</w:t>
            </w:r>
          </w:p>
        </w:tc>
        <w:tc>
          <w:tcPr>
            <w:tcW w:type="dxa" w:w="1296"/>
            <w:tcMar>
              <w:top w:w="60" w:type="dxa"/>
              <w:bottom w:w="60" w:type="dxa"/>
              <w:left w:w="40" w:type="dxa"/>
              <w:right w:w="40" w:type="dxa"/>
            </w:tcMar>
          </w:tcPr>
          <w:p>
            <w:pPr>
              <w:jc w:val="center"/>
            </w:pPr>
            <w:r>
              <w:rPr>
                <w:sz w:val="15"/>
              </w:rPr>
              <w:t>DST / DAF / EOPCI</w:t>
            </w:r>
          </w:p>
        </w:tc>
        <w:tc>
          <w:tcPr>
            <w:tcW w:type="dxa" w:w="1296"/>
            <w:tcMar>
              <w:top w:w="60" w:type="dxa"/>
              <w:bottom w:w="60" w:type="dxa"/>
              <w:left w:w="40" w:type="dxa"/>
              <w:right w:w="40" w:type="dxa"/>
            </w:tcMar>
          </w:tcPr>
          <w:p>
            <w:pPr>
              <w:jc w:val="center"/>
            </w:pPr>
            <w:r>
              <w:rPr>
                <w:sz w:val="15"/>
              </w:rPr>
              <w:t>Décembre 2026 - Mars 2027</w:t>
            </w:r>
          </w:p>
        </w:tc>
        <w:tc>
          <w:tcPr>
            <w:tcW w:type="dxa" w:w="2016"/>
            <w:tcMar>
              <w:top w:w="60" w:type="dxa"/>
              <w:bottom w:w="60" w:type="dxa"/>
              <w:left w:w="60" w:type="dxa"/>
              <w:right w:w="60" w:type="dxa"/>
            </w:tcMar>
          </w:tcPr>
          <w:p>
            <w:r>
              <w:rPr>
                <w:sz w:val="15"/>
              </w:rPr>
              <w:t>Points d'eau insuffisants ou robinets manuels sources de recontamination</w:t>
            </w:r>
          </w:p>
        </w:tc>
        <w:tc>
          <w:tcPr>
            <w:tcW w:type="dxa" w:w="2160"/>
            <w:tcMar>
              <w:top w:w="60" w:type="dxa"/>
              <w:bottom w:w="60" w:type="dxa"/>
              <w:left w:w="60" w:type="dxa"/>
              <w:right w:w="60" w:type="dxa"/>
            </w:tcMar>
          </w:tcPr>
          <w:p>
            <w:r>
              <w:rPr>
                <w:sz w:val="15"/>
              </w:rPr>
              <w:t>20 nouveaux postes ergonomiques de lavage des mains installés et raccordés au réseau</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8.3.4. Superviser la dotation annuelle en consommables d'hygiène et fournitures ordinaires indispensables au fonctionnement du CLIN/PCI :</w:t>
              <w:br/>
              <w:t>- Savon liquide pour le lavage des mains (250 Litres)</w:t>
              <w:br/>
              <w:t>- Essuie-mains jetables à usage unique (250 rouleaux)</w:t>
              <w:br/>
              <w:t>- Fournitures de bureau annuelles (12 cartons papier RAM, 12 recharges encre imprimante A80, stylos, chemises dossiers, agrafes, registres)</w:t>
            </w:r>
          </w:p>
        </w:tc>
        <w:tc>
          <w:tcPr>
            <w:tcW w:type="dxa" w:w="1296"/>
            <w:tcMar>
              <w:top w:w="60" w:type="dxa"/>
              <w:bottom w:w="60" w:type="dxa"/>
              <w:left w:w="40" w:type="dxa"/>
              <w:right w:w="40" w:type="dxa"/>
            </w:tcMar>
          </w:tcPr>
          <w:p>
            <w:pPr>
              <w:jc w:val="center"/>
            </w:pPr>
            <w:r>
              <w:rPr>
                <w:sz w:val="15"/>
              </w:rPr>
              <w:t>Économat / DAF / Point focal PCI</w:t>
            </w:r>
          </w:p>
        </w:tc>
        <w:tc>
          <w:tcPr>
            <w:tcW w:type="dxa" w:w="1296"/>
            <w:tcMar>
              <w:top w:w="60" w:type="dxa"/>
              <w:bottom w:w="60" w:type="dxa"/>
              <w:left w:w="40" w:type="dxa"/>
              <w:right w:w="40" w:type="dxa"/>
            </w:tcMar>
          </w:tcPr>
          <w:p>
            <w:pPr>
              <w:jc w:val="center"/>
            </w:pPr>
            <w:r>
              <w:rPr>
                <w:sz w:val="15"/>
              </w:rPr>
              <w:t>Trimestriel (Continu)</w:t>
            </w:r>
          </w:p>
        </w:tc>
        <w:tc>
          <w:tcPr>
            <w:tcW w:type="dxa" w:w="2016"/>
            <w:tcMar>
              <w:top w:w="60" w:type="dxa"/>
              <w:bottom w:w="60" w:type="dxa"/>
              <w:left w:w="60" w:type="dxa"/>
              <w:right w:w="60" w:type="dxa"/>
            </w:tcMar>
          </w:tcPr>
          <w:p>
            <w:r>
              <w:rPr>
                <w:sz w:val="15"/>
              </w:rPr>
              <w:t>Ruptures épisodiques de savon liquide et essuie-mains</w:t>
            </w:r>
          </w:p>
        </w:tc>
        <w:tc>
          <w:tcPr>
            <w:tcW w:type="dxa" w:w="2160"/>
            <w:tcMar>
              <w:top w:w="60" w:type="dxa"/>
              <w:bottom w:w="60" w:type="dxa"/>
              <w:left w:w="60" w:type="dxa"/>
              <w:right w:w="60" w:type="dxa"/>
            </w:tcMar>
          </w:tcPr>
          <w:p>
            <w:r>
              <w:rPr>
                <w:sz w:val="15"/>
              </w:rPr>
              <w:t>Zéro rupture de stock en savon liquide et essuie-mains constatée dans les blocs et unités critiques</w:t>
            </w:r>
          </w:p>
        </w:tc>
        <w:tc>
          <w:tcPr>
            <w:tcW w:type="dxa" w:w="1152"/>
            <w:tcMar>
              <w:top w:w="60" w:type="dxa"/>
              <w:bottom w:w="60" w:type="dxa"/>
              <w:left w:w="40" w:type="dxa"/>
              <w:right w:w="40" w:type="dxa"/>
            </w:tcMar>
          </w:tcPr>
          <w:p>
            <w:pPr>
              <w:jc w:val="center"/>
            </w:pPr>
            <w:r>
              <w:rPr>
                <w:b/>
                <w:sz w:val="15"/>
              </w:rPr>
              <w:t>FP</w:t>
            </w:r>
          </w:p>
        </w:tc>
      </w:tr>
      <w:tr>
        <w:trPr>
          <w:cantSplit/>
        </w:trPr>
        <w:tc>
          <w:tcPr>
            <w:tcW w:type="dxa" w:w="1872"/>
            <w:vMerge w:val="restart"/>
            <w:shd w:fill="D9E1F2"/>
            <w:tcMar>
              <w:top w:w="60" w:type="dxa"/>
              <w:bottom w:w="60" w:type="dxa"/>
              <w:left w:w="60" w:type="dxa"/>
              <w:right w:w="60" w:type="dxa"/>
            </w:tcMar>
          </w:tcPr>
          <w:p>
            <w:r>
              <w:rPr>
                <w:b/>
                <w:color w:val="1B365D"/>
                <w:sz w:val="17"/>
              </w:rPr>
              <w:t>VI. COMMUNICATION ET OUTILS DE SENSIBILISATION PCI</w:t>
            </w:r>
          </w:p>
        </w:tc>
        <w:tc>
          <w:tcPr>
            <w:tcW w:type="dxa" w:w="2304"/>
            <w:vMerge w:val="restart"/>
            <w:shd w:fill="F2F2F2"/>
            <w:tcMar>
              <w:top w:w="60" w:type="dxa"/>
              <w:bottom w:w="60" w:type="dxa"/>
              <w:left w:w="60" w:type="dxa"/>
              <w:right w:w="60" w:type="dxa"/>
            </w:tcMar>
          </w:tcPr>
          <w:p>
            <w:r>
              <w:rPr>
                <w:b/>
                <w:sz w:val="15"/>
              </w:rPr>
              <w:t>Mettre en place des outils de communication de la PCI</w:t>
            </w:r>
          </w:p>
        </w:tc>
        <w:tc>
          <w:tcPr>
            <w:tcW w:type="dxa" w:w="3888"/>
            <w:tcMar>
              <w:top w:w="60" w:type="dxa"/>
              <w:bottom w:w="60" w:type="dxa"/>
              <w:left w:w="60" w:type="dxa"/>
              <w:right w:w="60" w:type="dxa"/>
            </w:tcMar>
          </w:tcPr>
          <w:p>
            <w:r>
              <w:rPr>
                <w:sz w:val="16"/>
              </w:rPr>
              <w:t>6.1.1. Élaboration des outils de communication sur l’hygiène hospitalière et la PCI (Affiches, affichettes, dépliants) :</w:t>
              <w:br/>
              <w:t>- Affiches des 5 indications d'hygiène des mains</w:t>
              <w:br/>
              <w:t>- Affiches du code couleur pour le tri des DBM</w:t>
              <w:br/>
              <w:t>- Dépliants d'information des usagers et visiteurs</w:t>
            </w:r>
          </w:p>
        </w:tc>
        <w:tc>
          <w:tcPr>
            <w:tcW w:type="dxa" w:w="1296"/>
            <w:tcMar>
              <w:top w:w="60" w:type="dxa"/>
              <w:bottom w:w="60" w:type="dxa"/>
              <w:left w:w="40" w:type="dxa"/>
              <w:right w:w="40" w:type="dxa"/>
            </w:tcMar>
          </w:tcPr>
          <w:p>
            <w:pPr>
              <w:jc w:val="center"/>
            </w:pPr>
            <w:r>
              <w:rPr>
                <w:sz w:val="15"/>
              </w:rPr>
              <w:t>EOPCI / Service Communication</w:t>
            </w:r>
          </w:p>
        </w:tc>
        <w:tc>
          <w:tcPr>
            <w:tcW w:type="dxa" w:w="1296"/>
            <w:tcMar>
              <w:top w:w="60" w:type="dxa"/>
              <w:bottom w:w="60" w:type="dxa"/>
              <w:left w:w="40" w:type="dxa"/>
              <w:right w:w="40" w:type="dxa"/>
            </w:tcMar>
          </w:tcPr>
          <w:p>
            <w:pPr>
              <w:jc w:val="center"/>
            </w:pPr>
            <w:r>
              <w:rPr>
                <w:sz w:val="15"/>
              </w:rPr>
              <w:t>Novembre - Décembre 2026</w:t>
            </w:r>
          </w:p>
        </w:tc>
        <w:tc>
          <w:tcPr>
            <w:tcW w:type="dxa" w:w="2016"/>
            <w:tcMar>
              <w:top w:w="60" w:type="dxa"/>
              <w:bottom w:w="60" w:type="dxa"/>
              <w:left w:w="60" w:type="dxa"/>
              <w:right w:w="60" w:type="dxa"/>
            </w:tcMar>
          </w:tcPr>
          <w:p>
            <w:r>
              <w:rPr>
                <w:sz w:val="15"/>
              </w:rPr>
              <w:t>Supports visuels inexistants, dégradés ou non standardisés</w:t>
            </w:r>
          </w:p>
        </w:tc>
        <w:tc>
          <w:tcPr>
            <w:tcW w:type="dxa" w:w="2160"/>
            <w:tcMar>
              <w:top w:w="60" w:type="dxa"/>
              <w:bottom w:w="60" w:type="dxa"/>
              <w:left w:w="60" w:type="dxa"/>
              <w:right w:w="60" w:type="dxa"/>
            </w:tcMar>
          </w:tcPr>
          <w:p>
            <w:r>
              <w:rPr>
                <w:sz w:val="15"/>
              </w:rPr>
              <w:t>Maquettes graphiques de 5 types d'outils et affiches validées par le CLIN</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6.1.2. Multiplication des outils de communication (impression, reproduction et plastification)</w:t>
            </w:r>
          </w:p>
        </w:tc>
        <w:tc>
          <w:tcPr>
            <w:tcW w:type="dxa" w:w="1296"/>
            <w:tcMar>
              <w:top w:w="60" w:type="dxa"/>
              <w:bottom w:w="60" w:type="dxa"/>
              <w:left w:w="40" w:type="dxa"/>
              <w:right w:w="40" w:type="dxa"/>
            </w:tcMar>
          </w:tcPr>
          <w:p>
            <w:pPr>
              <w:jc w:val="center"/>
            </w:pPr>
            <w:r>
              <w:rPr>
                <w:sz w:val="15"/>
              </w:rPr>
              <w:t>DAF / Économat / EOPCI</w:t>
            </w:r>
          </w:p>
        </w:tc>
        <w:tc>
          <w:tcPr>
            <w:tcW w:type="dxa" w:w="1296"/>
            <w:tcMar>
              <w:top w:w="60" w:type="dxa"/>
              <w:bottom w:w="60" w:type="dxa"/>
              <w:left w:w="40" w:type="dxa"/>
              <w:right w:w="40" w:type="dxa"/>
            </w:tcMar>
          </w:tcPr>
          <w:p>
            <w:pPr>
              <w:jc w:val="center"/>
            </w:pPr>
            <w:r>
              <w:rPr>
                <w:sz w:val="15"/>
              </w:rPr>
              <w:t>Janvier - Février 2027</w:t>
            </w:r>
          </w:p>
        </w:tc>
        <w:tc>
          <w:tcPr>
            <w:tcW w:type="dxa" w:w="2016"/>
            <w:tcMar>
              <w:top w:w="60" w:type="dxa"/>
              <w:bottom w:w="60" w:type="dxa"/>
              <w:left w:w="60" w:type="dxa"/>
              <w:right w:w="60" w:type="dxa"/>
            </w:tcMar>
          </w:tcPr>
          <w:p>
            <w:r>
              <w:rPr>
                <w:sz w:val="15"/>
              </w:rPr>
              <w:t>Nombre insuffisant de supports imprimés</w:t>
            </w:r>
          </w:p>
        </w:tc>
        <w:tc>
          <w:tcPr>
            <w:tcW w:type="dxa" w:w="2160"/>
            <w:tcMar>
              <w:top w:w="60" w:type="dxa"/>
              <w:bottom w:w="60" w:type="dxa"/>
              <w:left w:w="60" w:type="dxa"/>
              <w:right w:w="60" w:type="dxa"/>
            </w:tcMar>
          </w:tcPr>
          <w:p>
            <w:r>
              <w:rPr>
                <w:sz w:val="15"/>
              </w:rPr>
              <w:t>500 affiches et posters plastifiés et 2 000 dépliants reproduits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6.1.3. Diffuser et installer les outils de communication dans tous les services et points de soins</w:t>
            </w:r>
          </w:p>
        </w:tc>
        <w:tc>
          <w:tcPr>
            <w:tcW w:type="dxa" w:w="1296"/>
            <w:tcMar>
              <w:top w:w="60" w:type="dxa"/>
              <w:bottom w:w="60" w:type="dxa"/>
              <w:left w:w="40" w:type="dxa"/>
              <w:right w:w="40" w:type="dxa"/>
            </w:tcMar>
          </w:tcPr>
          <w:p>
            <w:pPr>
              <w:jc w:val="center"/>
            </w:pPr>
            <w:r>
              <w:rPr>
                <w:sz w:val="15"/>
              </w:rPr>
              <w:t>EOPCI / Points focaux / Majors des services</w:t>
            </w:r>
          </w:p>
        </w:tc>
        <w:tc>
          <w:tcPr>
            <w:tcW w:type="dxa" w:w="1296"/>
            <w:tcMar>
              <w:top w:w="60" w:type="dxa"/>
              <w:bottom w:w="60" w:type="dxa"/>
              <w:left w:w="40" w:type="dxa"/>
              <w:right w:w="40" w:type="dxa"/>
            </w:tcMar>
          </w:tcPr>
          <w:p>
            <w:pPr>
              <w:jc w:val="center"/>
            </w:pPr>
            <w:r>
              <w:rPr>
                <w:sz w:val="15"/>
              </w:rPr>
              <w:t>Février - Mars 2027</w:t>
            </w:r>
          </w:p>
        </w:tc>
        <w:tc>
          <w:tcPr>
            <w:tcW w:type="dxa" w:w="2016"/>
            <w:tcMar>
              <w:top w:w="60" w:type="dxa"/>
              <w:bottom w:w="60" w:type="dxa"/>
              <w:left w:w="60" w:type="dxa"/>
              <w:right w:w="60" w:type="dxa"/>
            </w:tcMar>
          </w:tcPr>
          <w:p>
            <w:r>
              <w:rPr>
                <w:sz w:val="15"/>
              </w:rPr>
              <w:t>Supports non affichés aux points critiques de soins</w:t>
            </w:r>
          </w:p>
        </w:tc>
        <w:tc>
          <w:tcPr>
            <w:tcW w:type="dxa" w:w="2160"/>
            <w:tcMar>
              <w:top w:w="60" w:type="dxa"/>
              <w:bottom w:w="60" w:type="dxa"/>
              <w:left w:w="60" w:type="dxa"/>
              <w:right w:w="60" w:type="dxa"/>
            </w:tcMar>
          </w:tcPr>
          <w:p>
            <w:r>
              <w:rPr>
                <w:sz w:val="15"/>
              </w:rPr>
              <w:t>100% des postes de soins, lavabos et chambres équipés de supports visuels pérennes</w:t>
            </w:r>
          </w:p>
        </w:tc>
        <w:tc>
          <w:tcPr>
            <w:tcW w:type="dxa" w:w="1152"/>
            <w:tcMar>
              <w:top w:w="60" w:type="dxa"/>
              <w:bottom w:w="60" w:type="dxa"/>
              <w:left w:w="40" w:type="dxa"/>
              <w:right w:w="40" w:type="dxa"/>
            </w:tcMar>
          </w:tcPr>
          <w:p>
            <w:pPr>
              <w:jc w:val="center"/>
            </w:pPr>
            <w:r>
              <w:rPr>
                <w:b/>
                <w:sz w:val="15"/>
              </w:rPr>
              <w:t>FP</w:t>
            </w:r>
          </w:p>
        </w:tc>
      </w:tr>
      <w:tr>
        <w:trPr>
          <w:cantSplit/>
        </w:trPr>
        <w:tc>
          <w:tcPr>
            <w:tcW w:type="dxa" w:w="1888"/>
            <w:vMerge/>
          </w:tcPr>
          <w:p/>
        </w:tc>
        <w:tc>
          <w:tcPr>
            <w:tcW w:type="dxa" w:w="1888"/>
            <w:vMerge/>
          </w:tcPr>
          <w:p/>
        </w:tc>
        <w:tc>
          <w:tcPr>
            <w:tcW w:type="dxa" w:w="3888"/>
            <w:tcMar>
              <w:top w:w="60" w:type="dxa"/>
              <w:bottom w:w="60" w:type="dxa"/>
              <w:left w:w="60" w:type="dxa"/>
              <w:right w:w="60" w:type="dxa"/>
            </w:tcMar>
          </w:tcPr>
          <w:p>
            <w:r>
              <w:rPr>
                <w:sz w:val="16"/>
              </w:rPr>
              <w:t>6.1.4. Conduire des campagnes de sensibilisation de proximité auprès du personnel soignant, usagers et visiteurs</w:t>
            </w:r>
          </w:p>
        </w:tc>
        <w:tc>
          <w:tcPr>
            <w:tcW w:type="dxa" w:w="1296"/>
            <w:tcMar>
              <w:top w:w="60" w:type="dxa"/>
              <w:bottom w:w="60" w:type="dxa"/>
              <w:left w:w="40" w:type="dxa"/>
              <w:right w:w="40" w:type="dxa"/>
            </w:tcMar>
          </w:tcPr>
          <w:p>
            <w:pPr>
              <w:jc w:val="center"/>
            </w:pPr>
            <w:r>
              <w:rPr>
                <w:sz w:val="15"/>
              </w:rPr>
              <w:t>EOPCI / Points focaux</w:t>
            </w:r>
          </w:p>
        </w:tc>
        <w:tc>
          <w:tcPr>
            <w:tcW w:type="dxa" w:w="1296"/>
            <w:tcMar>
              <w:top w:w="60" w:type="dxa"/>
              <w:bottom w:w="60" w:type="dxa"/>
              <w:left w:w="40" w:type="dxa"/>
              <w:right w:w="40" w:type="dxa"/>
            </w:tcMar>
          </w:tcPr>
          <w:p>
            <w:pPr>
              <w:jc w:val="center"/>
            </w:pPr>
            <w:r>
              <w:rPr>
                <w:sz w:val="15"/>
              </w:rPr>
              <w:t>Trimestriel (Continu)</w:t>
            </w:r>
          </w:p>
        </w:tc>
        <w:tc>
          <w:tcPr>
            <w:tcW w:type="dxa" w:w="2016"/>
            <w:tcMar>
              <w:top w:w="60" w:type="dxa"/>
              <w:bottom w:w="60" w:type="dxa"/>
              <w:left w:w="60" w:type="dxa"/>
              <w:right w:w="60" w:type="dxa"/>
            </w:tcMar>
          </w:tcPr>
          <w:p>
            <w:r>
              <w:rPr>
                <w:sz w:val="15"/>
              </w:rPr>
              <w:t>Adhésion variable aux règles d'hygiène</w:t>
            </w:r>
          </w:p>
        </w:tc>
        <w:tc>
          <w:tcPr>
            <w:tcW w:type="dxa" w:w="2160"/>
            <w:tcMar>
              <w:top w:w="60" w:type="dxa"/>
              <w:bottom w:w="60" w:type="dxa"/>
              <w:left w:w="60" w:type="dxa"/>
              <w:right w:w="60" w:type="dxa"/>
            </w:tcMar>
          </w:tcPr>
          <w:p>
            <w:r>
              <w:rPr>
                <w:sz w:val="15"/>
              </w:rPr>
              <w:t>4 campagnes institutionnelles de communication menées avec renforcement de la culture de sécurité</w:t>
            </w:r>
          </w:p>
        </w:tc>
        <w:tc>
          <w:tcPr>
            <w:tcW w:type="dxa" w:w="1152"/>
            <w:tcMar>
              <w:top w:w="60" w:type="dxa"/>
              <w:bottom w:w="60" w:type="dxa"/>
              <w:left w:w="40" w:type="dxa"/>
              <w:right w:w="40" w:type="dxa"/>
            </w:tcMar>
          </w:tcPr>
          <w:p>
            <w:pPr>
              <w:jc w:val="center"/>
            </w:pPr>
            <w:r>
              <w:rPr>
                <w:b/>
                <w:sz w:val="15"/>
              </w:rPr>
              <w:t>FP</w:t>
            </w:r>
          </w:p>
        </w:tc>
      </w:tr>
    </w:tbl>
    <w:p>
      <w:r>
        <w:br w:type="page"/>
      </w:r>
    </w:p>
    <w:p>
      <w:pPr>
        <w:spacing w:before="240"/>
      </w:pPr>
      <w:r>
        <w:rPr>
          <w:b/>
          <w:color w:val="1B365D"/>
          <w:sz w:val="22"/>
        </w:rPr>
        <w:t>3. Approbation Institutionnelle du Plan Réajusté</w:t>
        <w:br/>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5035"/>
        <w:gridCol w:w="5035"/>
        <w:gridCol w:w="5035"/>
      </w:tblGrid>
      <w:tr>
        <w:tc>
          <w:tcPr>
            <w:tcW w:type="dxa" w:w="4896"/>
            <w:shd w:fill="F2F5F9"/>
            <w:tcMar>
              <w:top w:w="100" w:type="dxa"/>
              <w:bottom w:w="100" w:type="dxa"/>
              <w:left w:w="100" w:type="dxa"/>
              <w:right w:w="100" w:type="dxa"/>
            </w:tcMar>
          </w:tcPr>
          <w:p>
            <w:pPr>
              <w:jc w:val="center"/>
            </w:pPr>
            <w:r>
              <w:rPr>
                <w:b/>
                <w:color w:val="1B365D"/>
                <w:sz w:val="18"/>
              </w:rPr>
              <w:t>Pour l'Équipe Opérationnelle PCI</w:t>
              <w:br/>
              <w:t>Le Point Focal PCI</w:t>
            </w:r>
          </w:p>
        </w:tc>
        <w:tc>
          <w:tcPr>
            <w:tcW w:type="dxa" w:w="4896"/>
            <w:shd w:fill="F2F5F9"/>
            <w:tcMar>
              <w:top w:w="100" w:type="dxa"/>
              <w:bottom w:w="100" w:type="dxa"/>
              <w:left w:w="100" w:type="dxa"/>
              <w:right w:w="100" w:type="dxa"/>
            </w:tcMar>
          </w:tcPr>
          <w:p>
            <w:pPr>
              <w:jc w:val="center"/>
            </w:pPr>
            <w:r>
              <w:rPr>
                <w:b/>
                <w:color w:val="1B365D"/>
                <w:sz w:val="18"/>
              </w:rPr>
              <w:t>Pour le Comité de Lutte contre les Infections Nosocomiales</w:t>
              <w:br/>
              <w:t>Le Président du CLIN</w:t>
            </w:r>
          </w:p>
        </w:tc>
        <w:tc>
          <w:tcPr>
            <w:tcW w:type="dxa" w:w="4896"/>
            <w:shd w:fill="F2F5F9"/>
            <w:tcMar>
              <w:top w:w="100" w:type="dxa"/>
              <w:bottom w:w="100" w:type="dxa"/>
              <w:left w:w="100" w:type="dxa"/>
              <w:right w:w="100" w:type="dxa"/>
            </w:tcMar>
          </w:tcPr>
          <w:p>
            <w:pPr>
              <w:jc w:val="center"/>
            </w:pPr>
            <w:r>
              <w:rPr>
                <w:b/>
                <w:color w:val="1B365D"/>
                <w:sz w:val="18"/>
              </w:rPr>
              <w:t>Pour la Direction Générale du CHU-MEL</w:t>
              <w:br/>
              <w:t>Le Directeur Général</w:t>
            </w:r>
          </w:p>
        </w:tc>
      </w:tr>
      <w:tr>
        <w:tc>
          <w:tcPr>
            <w:tcW w:type="dxa" w:w="4896"/>
            <w:tcMar>
              <w:top w:w="200" w:type="dxa"/>
              <w:bottom w:w="200" w:type="dxa"/>
              <w:left w:w="100" w:type="dxa"/>
              <w:right w:w="100" w:type="dxa"/>
            </w:tcMar>
          </w:tcPr>
          <w:p>
            <w:pPr>
              <w:jc w:val="center"/>
            </w:pPr>
            <w:r>
              <w:rPr>
                <w:i/>
                <w:sz w:val="17"/>
              </w:rPr>
              <w:br/>
              <w:br/>
              <w:br/>
              <w:t>Date et Signature :</w:t>
              <w:br/>
            </w:r>
          </w:p>
        </w:tc>
        <w:tc>
          <w:tcPr>
            <w:tcW w:type="dxa" w:w="4896"/>
            <w:tcMar>
              <w:top w:w="200" w:type="dxa"/>
              <w:bottom w:w="200" w:type="dxa"/>
              <w:left w:w="100" w:type="dxa"/>
              <w:right w:w="100" w:type="dxa"/>
            </w:tcMar>
          </w:tcPr>
          <w:p>
            <w:pPr>
              <w:jc w:val="center"/>
            </w:pPr>
            <w:r>
              <w:rPr>
                <w:i/>
                <w:sz w:val="17"/>
              </w:rPr>
              <w:br/>
              <w:br/>
              <w:br/>
              <w:t>Date et Signature :</w:t>
              <w:br/>
            </w:r>
          </w:p>
        </w:tc>
        <w:tc>
          <w:tcPr>
            <w:tcW w:type="dxa" w:w="4896"/>
            <w:tcMar>
              <w:top w:w="200" w:type="dxa"/>
              <w:bottom w:w="200" w:type="dxa"/>
              <w:left w:w="100" w:type="dxa"/>
              <w:right w:w="100" w:type="dxa"/>
            </w:tcMar>
          </w:tcPr>
          <w:p>
            <w:pPr>
              <w:jc w:val="center"/>
            </w:pPr>
            <w:r>
              <w:rPr>
                <w:i/>
                <w:sz w:val="17"/>
              </w:rPr>
              <w:br/>
              <w:br/>
              <w:br/>
              <w:t>Date et Signature :</w:t>
              <w:br/>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