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0"/>
        </w:rPr>
        <w:t>RÉPUBLIQUE DU BÉNIN</w:t>
        <w:br/>
        <w:t>MINISTÈRE DE LA SANTÉ</w:t>
        <w:br/>
      </w:r>
      <w:r>
        <w:rPr>
          <w:b/>
          <w:color w:val="1B365D"/>
          <w:sz w:val="22"/>
        </w:rPr>
        <w:t>CENTRE HOSPITALIER UNIVERSITAIRE DE LA MÈRE ET DE L'ENFANT LAGUNE (CHU-MEL)</w:t>
        <w:br/>
      </w:r>
      <w:r>
        <w:rPr>
          <w:i/>
          <w:color w:val="505050"/>
          <w:sz w:val="19"/>
        </w:rPr>
        <w:t>COMITÉ DE LUTTE CONTRE LES INFECTIONS NOSOCOMIALES (CLIN)</w:t>
        <w:br/>
        <w:t>ÉQUIPE OPÉRATIONNELLE DE PRÉVENTION ET CONTRÔLE DES INFECTIONS (EOPCI)</w:t>
      </w:r>
    </w:p>
    <w:p>
      <w:pPr>
        <w:spacing w:before="160" w:after="240"/>
        <w:jc w:val="center"/>
      </w:pPr>
      <w:r>
        <w:rPr>
          <w:b/>
          <w:color w:val="1B365D"/>
          <w:sz w:val="28"/>
        </w:rPr>
        <w:t>PLAN DE TRAVAIL ANNUEL (PTA) CLIN / PCI 2026-2027</w:t>
        <w:br/>
        <w:t>PROPOSITION DE PLAN OPÉRATIONNEL</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7553"/>
        <w:gridCol w:w="7553"/>
      </w:tblGrid>
      <w:tr>
        <w:tc>
          <w:tcPr>
            <w:tcW w:type="dxa" w:w="7553"/>
            <w:shd w:fill="F2F5F9"/>
            <w:tcMar>
              <w:top w:w="60" w:type="dxa"/>
              <w:bottom w:w="60" w:type="dxa"/>
              <w:left w:w="100" w:type="dxa"/>
              <w:right w:w="100" w:type="dxa"/>
            </w:tcMar>
          </w:tcPr>
          <w:p>
            <w:r/>
            <w:r>
              <w:rPr>
                <w:b/>
                <w:color w:val="1B365D"/>
                <w:sz w:val="18"/>
              </w:rPr>
              <w:t xml:space="preserve">Période d'exécution : </w:t>
            </w:r>
            <w:r>
              <w:rPr>
                <w:sz w:val="18"/>
              </w:rPr>
              <w:t>Exercice 2026-2027 (Octobre 2026 - Septembre 2027)</w:t>
            </w:r>
          </w:p>
        </w:tc>
        <w:tc>
          <w:tcPr>
            <w:tcW w:type="dxa" w:w="7553"/>
            <w:shd w:fill="F2F5F9"/>
            <w:tcMar>
              <w:top w:w="60" w:type="dxa"/>
              <w:bottom w:w="60" w:type="dxa"/>
              <w:left w:w="100" w:type="dxa"/>
              <w:right w:w="100" w:type="dxa"/>
            </w:tcMar>
          </w:tcPr>
          <w:p>
            <w:r/>
            <w:r>
              <w:rPr>
                <w:b/>
                <w:color w:val="1B365D"/>
                <w:sz w:val="18"/>
              </w:rPr>
              <w:t xml:space="preserve">Établissement : </w:t>
            </w:r>
            <w:r>
              <w:rPr>
                <w:sz w:val="18"/>
              </w:rPr>
              <w:t>Centre Hospitalier Universitaire de la Mère et de l'Enfant Lagune (CHU-MEL)</w:t>
            </w:r>
          </w:p>
        </w:tc>
      </w:tr>
      <w:tr>
        <w:tc>
          <w:tcPr>
            <w:tcW w:type="dxa" w:w="7553"/>
            <w:shd w:fill="F2F5F9"/>
            <w:tcMar>
              <w:top w:w="60" w:type="dxa"/>
              <w:bottom w:w="60" w:type="dxa"/>
              <w:left w:w="100" w:type="dxa"/>
              <w:right w:w="100" w:type="dxa"/>
            </w:tcMar>
          </w:tcPr>
          <w:p>
            <w:r/>
            <w:r>
              <w:rPr>
                <w:b/>
                <w:color w:val="1B365D"/>
                <w:sz w:val="18"/>
              </w:rPr>
              <w:t xml:space="preserve">Point Focal / Rapporteur : </w:t>
            </w:r>
            <w:r>
              <w:rPr>
                <w:sz w:val="18"/>
              </w:rPr>
              <w:t>Dr da Sylva Raymond (Point Focal PCI / CLIN)</w:t>
            </w:r>
          </w:p>
        </w:tc>
        <w:tc>
          <w:tcPr>
            <w:tcW w:type="dxa" w:w="7553"/>
            <w:shd w:fill="F2F5F9"/>
            <w:tcMar>
              <w:top w:w="60" w:type="dxa"/>
              <w:bottom w:w="60" w:type="dxa"/>
              <w:left w:w="100" w:type="dxa"/>
              <w:right w:w="100" w:type="dxa"/>
            </w:tcMar>
          </w:tcPr>
          <w:p>
            <w:r/>
            <w:r>
              <w:rPr>
                <w:b/>
                <w:color w:val="1B365D"/>
                <w:sz w:val="18"/>
              </w:rPr>
              <w:t xml:space="preserve">Contact : </w:t>
            </w:r>
            <w:r>
              <w:rPr>
                <w:sz w:val="18"/>
              </w:rPr>
              <w:t>Tél : +229 66 46 27 23 | Email : raymond08sg@gmail.com</w:t>
            </w:r>
          </w:p>
        </w:tc>
      </w:tr>
      <w:tr>
        <w:tc>
          <w:tcPr>
            <w:tcW w:type="dxa" w:w="7553"/>
            <w:shd w:fill="F2F5F9"/>
            <w:tcMar>
              <w:top w:w="60" w:type="dxa"/>
              <w:bottom w:w="60" w:type="dxa"/>
              <w:left w:w="100" w:type="dxa"/>
              <w:right w:w="100" w:type="dxa"/>
            </w:tcMar>
          </w:tcPr>
          <w:p>
            <w:r/>
            <w:r>
              <w:rPr>
                <w:b/>
                <w:color w:val="1B365D"/>
                <w:sz w:val="18"/>
              </w:rPr>
              <w:t xml:space="preserve">Cadre de référence : </w:t>
            </w:r>
            <w:r>
              <w:rPr>
                <w:sz w:val="18"/>
              </w:rPr>
              <w:t>8 Composantes clés de l'OMS en PCI &amp; Diagnostic institutionnel</w:t>
            </w:r>
          </w:p>
        </w:tc>
        <w:tc>
          <w:tcPr>
            <w:tcW w:type="dxa" w:w="7553"/>
            <w:shd w:fill="F2F5F9"/>
            <w:tcMar>
              <w:top w:w="60" w:type="dxa"/>
              <w:bottom w:w="60" w:type="dxa"/>
              <w:left w:w="100" w:type="dxa"/>
              <w:right w:w="100" w:type="dxa"/>
            </w:tcMar>
          </w:tcPr>
          <w:p>
            <w:r/>
            <w:r>
              <w:rPr>
                <w:b/>
                <w:color w:val="1B365D"/>
                <w:sz w:val="18"/>
              </w:rPr>
              <w:t xml:space="preserve">Statut du document : </w:t>
            </w:r>
            <w:r>
              <w:rPr>
                <w:sz w:val="18"/>
              </w:rPr>
              <w:t>Proposition soumise pour validation institutionnelle</w:t>
            </w:r>
          </w:p>
        </w:tc>
      </w:tr>
    </w:tbl>
    <w:p>
      <w:pPr>
        <w:spacing w:after="160"/>
      </w:pPr>
    </w:p>
    <w:p>
      <w:pPr>
        <w:spacing w:after="160"/>
      </w:pPr>
      <w:r>
        <w:rPr>
          <w:b/>
          <w:color w:val="1B365D"/>
          <w:sz w:val="22"/>
        </w:rPr>
        <w:t>1. Contexte, Vision et Architecture Stratégique</w:t>
        <w:br/>
      </w:r>
      <w:r>
        <w:rPr>
          <w:sz w:val="17"/>
        </w:rPr>
        <w:t>Le Centre Hospitalier Universitaire de la Mère et de l'Enfant Lagune (CHU-MEL) de Cotonou a fait de la sécurité des soins et de la Prévention et du Contrôle des Infections (PCI) une priorité cardinale. En application des directives nationales et des recommandations internationales de l'Organisation Mondiale de la Santé (OMS), le présent Plan de Travail Annuel (PTA) 2026-2027 structure l'ensemble des interventions prioritaires du CLIN et de l'EOPCI autour des huit (8) Objectifs Stratégiques (OS) identifiés :</w:t>
        <w:br/>
        <w:t>• OS I - Programme PCI : Consolidation institutionnelle, nomination du Point Focal, renouvellement du CLIN et de l'EOPCI, équipe dédiée et intégration au PITA 2027.</w:t>
        <w:br/>
        <w:t>• OS II - Directives basées sur des preuves scientifiques : Harmonisation, validation technique et déploiement de 10 POS prioritaires plastifiées.</w:t>
        <w:br/>
        <w:t>• OS III - Formation et Éducation en PCI : Formation continue de 500 soignants aux précautions standard/complémentaires, 300 agents au bionettoyage, éducation des usagers et congrès SB2HPCI.</w:t>
        <w:br/>
        <w:t>• OS IV - Gouvernance : 52 réunions hebdomadaires de l'EOPCI et 4 sessions statutaires régulières du CLIN avec suivi des décisions.</w:t>
        <w:br/>
        <w:t>• OS V - Surveillance des IAS et Microbiologie : Protocoles de surveillance, 2 enquêtes de prévalence et 33 séries d'analyses microbiologiques de surveillance environnementale.</w:t>
        <w:br/>
        <w:t>• OS VI - Stratégies multimodales de l'OMS : Intégration des 5 composantes de l'OMS, affichage visuel (300 supports plastifiés) et sensibilisation continue.</w:t>
        <w:br/>
        <w:t>• OS VII - Suivi, Audits et Restitution : Évaluation mensuelle de l'observance, audits cliniques trimestriels, acquisition de matériels informatiques, célébration du 5 mai et feedback.</w:t>
        <w:br/>
        <w:t>• OS VIII - Charges de travail, Déchets Biomédicaux et WASH : Évaluation de l'espacement des lits, fiches de poste, réseau de 24 points focaux, filière DBM (50 poubelles, peson, projet d'incinérateur), contrôle de l'eau et 20 dispositifs de lavage des mains.</w:t>
      </w:r>
    </w:p>
    <w:p>
      <w:pPr>
        <w:spacing w:before="120" w:after="80"/>
      </w:pPr>
      <w:r>
        <w:rPr>
          <w:b/>
          <w:color w:val="1B365D"/>
          <w:sz w:val="22"/>
        </w:rPr>
        <w:t>2. Matrice Opérationnelle Détaillée du Plan de Travail Annuel (PTA) 2026-2027</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B0C4DE"/>
          <w:insideV w:val="single" w:sz="4" w:space="0" w:color="B0C4DE"/>
        </w:tblBorders>
      </w:tblPr>
      <w:tblGrid>
        <w:gridCol w:w="1888"/>
        <w:gridCol w:w="1888"/>
        <w:gridCol w:w="1888"/>
        <w:gridCol w:w="1888"/>
        <w:gridCol w:w="1888"/>
        <w:gridCol w:w="1888"/>
        <w:gridCol w:w="1888"/>
        <w:gridCol w:w="1888"/>
      </w:tblGrid>
      <w:tr>
        <w:trPr>
          <w:tblHeader/>
        </w:trPr>
        <w:tc>
          <w:tcPr>
            <w:tcW w:type="dxa" w:w="1872"/>
            <w:vMerge w:val="restart"/>
            <w:shd w:fill="1B365D"/>
            <w:tcMar>
              <w:top w:w="80" w:type="dxa"/>
              <w:bottom w:w="80" w:type="dxa"/>
              <w:left w:w="80" w:type="dxa"/>
              <w:right w:w="80" w:type="dxa"/>
            </w:tcMar>
          </w:tcPr>
          <w:p>
            <w:pPr>
              <w:jc w:val="center"/>
            </w:pPr>
            <w:r>
              <w:rPr>
                <w:b/>
                <w:color w:val="FFFFFF"/>
                <w:sz w:val="17"/>
              </w:rPr>
              <w:t>Objectifs stratégiques</w:t>
            </w:r>
          </w:p>
          <w:p>
            <w:pPr>
              <w:jc w:val="center"/>
            </w:pPr>
            <w:r>
              <w:rPr>
                <w:b/>
                <w:color w:val="FFFFFF"/>
                <w:sz w:val="16"/>
              </w:rPr>
            </w:r>
          </w:p>
        </w:tc>
        <w:tc>
          <w:tcPr>
            <w:tcW w:type="dxa" w:w="2304"/>
            <w:vMerge w:val="restart"/>
            <w:shd w:fill="1B365D"/>
            <w:tcMar>
              <w:top w:w="80" w:type="dxa"/>
              <w:bottom w:w="80" w:type="dxa"/>
              <w:left w:w="80" w:type="dxa"/>
              <w:right w:w="80" w:type="dxa"/>
            </w:tcMar>
          </w:tcPr>
          <w:p>
            <w:pPr>
              <w:jc w:val="center"/>
            </w:pPr>
            <w:r>
              <w:rPr>
                <w:b/>
                <w:color w:val="FFFFFF"/>
                <w:sz w:val="17"/>
              </w:rPr>
              <w:t>Interventions stratégiques</w:t>
            </w:r>
          </w:p>
          <w:p>
            <w:pPr>
              <w:jc w:val="center"/>
            </w:pPr>
            <w:r>
              <w:rPr>
                <w:b/>
                <w:color w:val="FFFFFF"/>
                <w:sz w:val="16"/>
              </w:rPr>
            </w:r>
          </w:p>
        </w:tc>
        <w:tc>
          <w:tcPr>
            <w:tcW w:type="dxa" w:w="3888"/>
            <w:vMerge w:val="restart"/>
            <w:shd w:fill="1B365D"/>
            <w:tcMar>
              <w:top w:w="80" w:type="dxa"/>
              <w:bottom w:w="80" w:type="dxa"/>
              <w:left w:w="80" w:type="dxa"/>
              <w:right w:w="80" w:type="dxa"/>
            </w:tcMar>
          </w:tcPr>
          <w:p>
            <w:pPr>
              <w:jc w:val="center"/>
            </w:pPr>
            <w:r>
              <w:rPr>
                <w:b/>
                <w:color w:val="FFFFFF"/>
                <w:sz w:val="17"/>
              </w:rPr>
              <w:t>Activité / Sous-activité</w:t>
            </w:r>
          </w:p>
          <w:p>
            <w:pPr>
              <w:jc w:val="center"/>
            </w:pPr>
            <w:r>
              <w:rPr>
                <w:b/>
                <w:color w:val="FFFFFF"/>
                <w:sz w:val="16"/>
              </w:rPr>
            </w:r>
          </w:p>
        </w:tc>
        <w:tc>
          <w:tcPr>
            <w:tcW w:type="dxa" w:w="1296"/>
            <w:vMerge w:val="restart"/>
            <w:shd w:fill="1B365D"/>
            <w:tcMar>
              <w:top w:w="80" w:type="dxa"/>
              <w:bottom w:w="80" w:type="dxa"/>
              <w:left w:w="80" w:type="dxa"/>
              <w:right w:w="80" w:type="dxa"/>
            </w:tcMar>
          </w:tcPr>
          <w:p>
            <w:pPr>
              <w:jc w:val="center"/>
            </w:pPr>
            <w:r>
              <w:rPr>
                <w:b/>
                <w:color w:val="FFFFFF"/>
                <w:sz w:val="17"/>
              </w:rPr>
              <w:t>Responsabilité</w:t>
            </w:r>
          </w:p>
          <w:p>
            <w:pPr>
              <w:jc w:val="center"/>
            </w:pPr>
            <w:r>
              <w:rPr>
                <w:b/>
                <w:color w:val="FFFFFF"/>
                <w:sz w:val="16"/>
              </w:rPr>
            </w:r>
          </w:p>
        </w:tc>
        <w:tc>
          <w:tcPr>
            <w:tcW w:type="dxa" w:w="1296"/>
            <w:vMerge w:val="restart"/>
            <w:shd w:fill="1B365D"/>
            <w:tcMar>
              <w:top w:w="80" w:type="dxa"/>
              <w:bottom w:w="80" w:type="dxa"/>
              <w:left w:w="80" w:type="dxa"/>
              <w:right w:w="80" w:type="dxa"/>
            </w:tcMar>
          </w:tcPr>
          <w:p>
            <w:pPr>
              <w:jc w:val="center"/>
            </w:pPr>
            <w:r>
              <w:rPr>
                <w:b/>
                <w:color w:val="FFFFFF"/>
                <w:sz w:val="17"/>
              </w:rPr>
              <w:t>Délai d’exécution</w:t>
            </w:r>
          </w:p>
          <w:p>
            <w:pPr>
              <w:jc w:val="center"/>
            </w:pPr>
            <w:r>
              <w:rPr>
                <w:b/>
                <w:color w:val="FFFFFF"/>
                <w:sz w:val="16"/>
              </w:rPr>
            </w:r>
          </w:p>
        </w:tc>
        <w:tc>
          <w:tcPr>
            <w:tcW w:type="dxa" w:w="2160"/>
            <w:gridSpan w:val="2"/>
            <w:shd w:fill="1B365D"/>
            <w:tcMar>
              <w:top w:w="80" w:type="dxa"/>
              <w:bottom w:w="80" w:type="dxa"/>
              <w:left w:w="80" w:type="dxa"/>
              <w:right w:w="80" w:type="dxa"/>
            </w:tcMar>
          </w:tcPr>
          <w:p>
            <w:pPr>
              <w:jc w:val="center"/>
            </w:pPr>
            <w:r>
              <w:rPr>
                <w:b/>
                <w:color w:val="FFFFFF"/>
                <w:sz w:val="17"/>
              </w:rPr>
              <w:t>Indicateurs</w:t>
            </w:r>
          </w:p>
          <w:p>
            <w:pPr>
              <w:jc w:val="center"/>
            </w:pPr>
            <w:r>
              <w:rPr>
                <w:b/>
                <w:color w:val="FFFFFF"/>
                <w:sz w:val="17"/>
              </w:rPr>
            </w:r>
          </w:p>
        </w:tc>
        <w:tc>
          <w:tcPr>
            <w:tcW w:type="dxa" w:w="1152"/>
            <w:vMerge w:val="restart"/>
            <w:shd w:fill="1B365D"/>
            <w:tcMar>
              <w:top w:w="80" w:type="dxa"/>
              <w:bottom w:w="80" w:type="dxa"/>
              <w:left w:w="80" w:type="dxa"/>
              <w:right w:w="80" w:type="dxa"/>
            </w:tcMar>
          </w:tcPr>
          <w:p>
            <w:pPr>
              <w:jc w:val="center"/>
            </w:pPr>
            <w:r>
              <w:rPr>
                <w:b/>
                <w:color w:val="FFFFFF"/>
                <w:sz w:val="17"/>
              </w:rPr>
              <w:t>Source de financement</w:t>
            </w:r>
          </w:p>
          <w:p>
            <w:pPr>
              <w:jc w:val="center"/>
            </w:pPr>
            <w:r>
              <w:rPr>
                <w:b/>
                <w:color w:val="FFFFFF"/>
                <w:sz w:val="16"/>
              </w:rPr>
            </w:r>
          </w:p>
        </w:tc>
      </w:tr>
      <w:tr>
        <w:trPr>
          <w:tblHeader/>
        </w:trPr>
        <w:tc>
          <w:tcPr>
            <w:tcW w:type="dxa" w:w="1888"/>
            <w:vMerge/>
            <w:shd w:fill="2E5B88"/>
            <w:tcMar>
              <w:top w:w="60" w:type="dxa"/>
              <w:bottom w:w="60" w:type="dxa"/>
              <w:left w:w="80" w:type="dxa"/>
              <w:right w:w="80" w:type="dxa"/>
            </w:tcMar>
          </w:tcPr>
          <w:p/>
        </w:tc>
        <w:tc>
          <w:tcPr>
            <w:tcW w:type="dxa" w:w="1888"/>
            <w:vMerge/>
            <w:shd w:fill="2E5B88"/>
            <w:tcMar>
              <w:top w:w="60" w:type="dxa"/>
              <w:bottom w:w="60" w:type="dxa"/>
              <w:left w:w="80" w:type="dxa"/>
              <w:right w:w="80" w:type="dxa"/>
            </w:tcMar>
          </w:tcPr>
          <w:p/>
        </w:tc>
        <w:tc>
          <w:tcPr>
            <w:tcW w:type="dxa" w:w="1888"/>
            <w:vMerge/>
            <w:shd w:fill="2E5B88"/>
            <w:tcMar>
              <w:top w:w="60" w:type="dxa"/>
              <w:bottom w:w="60" w:type="dxa"/>
              <w:left w:w="80" w:type="dxa"/>
              <w:right w:w="80" w:type="dxa"/>
            </w:tcMar>
          </w:tcPr>
          <w:p/>
        </w:tc>
        <w:tc>
          <w:tcPr>
            <w:tcW w:type="dxa" w:w="1888"/>
            <w:vMerge/>
            <w:shd w:fill="2E5B88"/>
            <w:tcMar>
              <w:top w:w="60" w:type="dxa"/>
              <w:bottom w:w="60" w:type="dxa"/>
              <w:left w:w="80" w:type="dxa"/>
              <w:right w:w="80" w:type="dxa"/>
            </w:tcMar>
          </w:tcPr>
          <w:p/>
        </w:tc>
        <w:tc>
          <w:tcPr>
            <w:tcW w:type="dxa" w:w="1888"/>
            <w:vMerge/>
            <w:shd w:fill="2E5B88"/>
            <w:tcMar>
              <w:top w:w="60" w:type="dxa"/>
              <w:bottom w:w="60" w:type="dxa"/>
              <w:left w:w="80" w:type="dxa"/>
              <w:right w:w="80" w:type="dxa"/>
            </w:tcMar>
          </w:tcPr>
          <w:p/>
        </w:tc>
        <w:tc>
          <w:tcPr>
            <w:tcW w:type="dxa" w:w="2016"/>
            <w:shd w:fill="2E5B88"/>
            <w:tcMar>
              <w:top w:w="60" w:type="dxa"/>
              <w:bottom w:w="60" w:type="dxa"/>
              <w:left w:w="80" w:type="dxa"/>
              <w:right w:w="80" w:type="dxa"/>
            </w:tcMar>
          </w:tcPr>
          <w:p>
            <w:pPr>
              <w:jc w:val="center"/>
            </w:pPr>
            <w:r>
              <w:rPr>
                <w:b/>
                <w:color w:val="FFFFFF"/>
                <w:sz w:val="16"/>
              </w:rPr>
              <w:t>De base</w:t>
            </w:r>
          </w:p>
        </w:tc>
        <w:tc>
          <w:tcPr>
            <w:tcW w:type="dxa" w:w="2160"/>
            <w:shd w:fill="2E5B88"/>
            <w:tcMar>
              <w:top w:w="60" w:type="dxa"/>
              <w:bottom w:w="60" w:type="dxa"/>
              <w:left w:w="80" w:type="dxa"/>
              <w:right w:w="80" w:type="dxa"/>
            </w:tcMar>
          </w:tcPr>
          <w:p>
            <w:pPr>
              <w:jc w:val="center"/>
            </w:pPr>
            <w:r>
              <w:rPr>
                <w:b/>
                <w:color w:val="FFFFFF"/>
                <w:sz w:val="16"/>
              </w:rPr>
              <w:t>Cible</w:t>
            </w:r>
          </w:p>
        </w:tc>
        <w:tc>
          <w:tcPr>
            <w:tcW w:type="dxa" w:w="1888"/>
            <w:vMerge/>
            <w:shd w:fill="2E5B88"/>
            <w:tcMar>
              <w:top w:w="60" w:type="dxa"/>
              <w:bottom w:w="60" w:type="dxa"/>
              <w:left w:w="80" w:type="dxa"/>
              <w:right w:w="80" w:type="dxa"/>
            </w:tcMar>
          </w:tcPr>
          <w:p/>
        </w:tc>
      </w:tr>
      <w:tr>
        <w:trPr>
          <w:cantSplit/>
        </w:trPr>
        <w:tc>
          <w:tcPr>
            <w:tcW w:type="dxa" w:w="1872"/>
            <w:vMerge w:val="restart"/>
            <w:shd w:fill="D9E1F2"/>
            <w:tcMar>
              <w:top w:w="60" w:type="dxa"/>
              <w:bottom w:w="60" w:type="dxa"/>
              <w:left w:w="60" w:type="dxa"/>
              <w:right w:w="60" w:type="dxa"/>
            </w:tcMar>
          </w:tcPr>
          <w:p>
            <w:r>
              <w:rPr>
                <w:b/>
                <w:color w:val="1B365D"/>
                <w:sz w:val="17"/>
              </w:rPr>
              <w:t>I. PROGRAMME PCI</w:t>
            </w:r>
          </w:p>
        </w:tc>
        <w:tc>
          <w:tcPr>
            <w:tcW w:type="dxa" w:w="2304"/>
            <w:vMerge w:val="restart"/>
            <w:shd w:fill="F2F2F2"/>
            <w:tcMar>
              <w:top w:w="60" w:type="dxa"/>
              <w:bottom w:w="60" w:type="dxa"/>
              <w:left w:w="60" w:type="dxa"/>
              <w:right w:w="60" w:type="dxa"/>
            </w:tcMar>
          </w:tcPr>
          <w:p>
            <w:r>
              <w:rPr>
                <w:b/>
                <w:sz w:val="15"/>
              </w:rPr>
              <w:t>1.1. Renforcement de la structure institutionnelle et fonctionnelle de la PCI (service/unité)</w:t>
            </w:r>
          </w:p>
        </w:tc>
        <w:tc>
          <w:tcPr>
            <w:tcW w:type="dxa" w:w="3888"/>
            <w:tcMar>
              <w:top w:w="60" w:type="dxa"/>
              <w:bottom w:w="60" w:type="dxa"/>
              <w:left w:w="60" w:type="dxa"/>
              <w:right w:w="60" w:type="dxa"/>
            </w:tcMar>
          </w:tcPr>
          <w:p>
            <w:r>
              <w:rPr>
                <w:sz w:val="16"/>
              </w:rPr>
              <w:t>1.1.1. Rédiger la note de service portant nomination du Point Focal PCI du CHUMEL</w:t>
            </w:r>
          </w:p>
        </w:tc>
        <w:tc>
          <w:tcPr>
            <w:tcW w:type="dxa" w:w="1296"/>
            <w:tcMar>
              <w:top w:w="60" w:type="dxa"/>
              <w:bottom w:w="60" w:type="dxa"/>
              <w:left w:w="40" w:type="dxa"/>
              <w:right w:w="40" w:type="dxa"/>
            </w:tcMar>
          </w:tcPr>
          <w:p>
            <w:pPr>
              <w:jc w:val="center"/>
            </w:pPr>
            <w:r>
              <w:rPr>
                <w:sz w:val="15"/>
              </w:rPr>
              <w:t>DG / Point focal</w:t>
            </w:r>
          </w:p>
        </w:tc>
        <w:tc>
          <w:tcPr>
            <w:tcW w:type="dxa" w:w="1296"/>
            <w:tcMar>
              <w:top w:w="60" w:type="dxa"/>
              <w:bottom w:w="60" w:type="dxa"/>
              <w:left w:w="40" w:type="dxa"/>
              <w:right w:w="40" w:type="dxa"/>
            </w:tcMar>
          </w:tcPr>
          <w:p>
            <w:pPr>
              <w:jc w:val="center"/>
            </w:pPr>
            <w:r>
              <w:rPr>
                <w:sz w:val="15"/>
              </w:rPr>
              <w:t>Octobre 2026</w:t>
            </w:r>
          </w:p>
        </w:tc>
        <w:tc>
          <w:tcPr>
            <w:tcW w:type="dxa" w:w="2016"/>
            <w:tcMar>
              <w:top w:w="60" w:type="dxa"/>
              <w:bottom w:w="60" w:type="dxa"/>
              <w:left w:w="60" w:type="dxa"/>
              <w:right w:w="60" w:type="dxa"/>
            </w:tcMar>
          </w:tcPr>
          <w:p>
            <w:r>
              <w:rPr>
                <w:sz w:val="15"/>
              </w:rPr>
              <w:t>Note de nomination antérieure caduque</w:t>
            </w:r>
          </w:p>
        </w:tc>
        <w:tc>
          <w:tcPr>
            <w:tcW w:type="dxa" w:w="2160"/>
            <w:tcMar>
              <w:top w:w="60" w:type="dxa"/>
              <w:bottom w:w="60" w:type="dxa"/>
              <w:left w:w="60" w:type="dxa"/>
              <w:right w:w="60" w:type="dxa"/>
            </w:tcMar>
          </w:tcPr>
          <w:p>
            <w:r>
              <w:rPr>
                <w:sz w:val="15"/>
              </w:rPr>
              <w:t>Note de service officielle signée par le DG et notifiée à tous les services</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1.1.2. Renouveler et formaliser le Comité de Lutte contre les Infections Nosocomiales (CLIN)</w:t>
            </w:r>
          </w:p>
        </w:tc>
        <w:tc>
          <w:tcPr>
            <w:tcW w:type="dxa" w:w="1296"/>
            <w:tcMar>
              <w:top w:w="60" w:type="dxa"/>
              <w:bottom w:w="60" w:type="dxa"/>
              <w:left w:w="40" w:type="dxa"/>
              <w:right w:w="40" w:type="dxa"/>
            </w:tcMar>
          </w:tcPr>
          <w:p>
            <w:pPr>
              <w:jc w:val="center"/>
            </w:pPr>
            <w:r>
              <w:rPr>
                <w:sz w:val="15"/>
              </w:rPr>
              <w:t>DG / CLIN</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Mandat des membres du CLIN arrivé à échéance</w:t>
            </w:r>
          </w:p>
        </w:tc>
        <w:tc>
          <w:tcPr>
            <w:tcW w:type="dxa" w:w="2160"/>
            <w:tcMar>
              <w:top w:w="60" w:type="dxa"/>
              <w:bottom w:w="60" w:type="dxa"/>
              <w:left w:w="60" w:type="dxa"/>
              <w:right w:w="60" w:type="dxa"/>
            </w:tcMar>
          </w:tcPr>
          <w:p>
            <w:r>
              <w:rPr>
                <w:sz w:val="15"/>
              </w:rPr>
              <w:t>Décision institutionnelle portant renouvellement des membres du CLIN publiée</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1.1.3. Renouveler et restructurer l’Équipe Opérationnelle de PCI (EOPCI)</w:t>
            </w:r>
          </w:p>
        </w:tc>
        <w:tc>
          <w:tcPr>
            <w:tcW w:type="dxa" w:w="1296"/>
            <w:tcMar>
              <w:top w:w="60" w:type="dxa"/>
              <w:bottom w:w="60" w:type="dxa"/>
              <w:left w:w="40" w:type="dxa"/>
              <w:right w:w="40" w:type="dxa"/>
            </w:tcMar>
          </w:tcPr>
          <w:p>
            <w:pPr>
              <w:jc w:val="center"/>
            </w:pPr>
            <w:r>
              <w:rPr>
                <w:sz w:val="15"/>
              </w:rPr>
              <w:t>DG / Point focal</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Composition antérieure de l'EOPCI partielle et informelle</w:t>
            </w:r>
          </w:p>
        </w:tc>
        <w:tc>
          <w:tcPr>
            <w:tcW w:type="dxa" w:w="2160"/>
            <w:tcMar>
              <w:top w:w="60" w:type="dxa"/>
              <w:bottom w:w="60" w:type="dxa"/>
              <w:left w:w="60" w:type="dxa"/>
              <w:right w:w="60" w:type="dxa"/>
            </w:tcMar>
          </w:tcPr>
          <w:p>
            <w:r>
              <w:rPr>
                <w:sz w:val="15"/>
              </w:rPr>
              <w:t>Note de service portant composition multidisciplinaire et renouvellement de l’EOPCI</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1.1.4. Mettre en place une équipe opérationnelle PCI dédiée à plein temps et définir son cahier des charges :</w:t>
              <w:br/>
              <w:t>- Élaborer le projet de cahier des charges de l'EOPCI</w:t>
              <w:br/>
              <w:t>- Valider le projet en réunion de direction</w:t>
              <w:br/>
              <w:t>- Approuver et signer le cahier des charges par la DG</w:t>
              <w:br/>
              <w:t>- Affecter au moins un praticien et un infirmier dédiés à plein temps à la PCI</w:t>
            </w:r>
          </w:p>
        </w:tc>
        <w:tc>
          <w:tcPr>
            <w:tcW w:type="dxa" w:w="1296"/>
            <w:tcMar>
              <w:top w:w="60" w:type="dxa"/>
              <w:bottom w:w="60" w:type="dxa"/>
              <w:left w:w="40" w:type="dxa"/>
              <w:right w:w="40" w:type="dxa"/>
            </w:tcMar>
          </w:tcPr>
          <w:p>
            <w:pPr>
              <w:jc w:val="center"/>
            </w:pPr>
            <w:r>
              <w:rPr>
                <w:sz w:val="15"/>
              </w:rPr>
              <w:t>DG / DAF / Point focal</w:t>
            </w:r>
          </w:p>
        </w:tc>
        <w:tc>
          <w:tcPr>
            <w:tcW w:type="dxa" w:w="1296"/>
            <w:tcMar>
              <w:top w:w="60" w:type="dxa"/>
              <w:bottom w:w="60" w:type="dxa"/>
              <w:left w:w="40" w:type="dxa"/>
              <w:right w:w="40" w:type="dxa"/>
            </w:tcMar>
          </w:tcPr>
          <w:p>
            <w:pPr>
              <w:jc w:val="center"/>
            </w:pPr>
            <w:r>
              <w:rPr>
                <w:sz w:val="15"/>
              </w:rPr>
              <w:t>Décembre 2026</w:t>
            </w:r>
          </w:p>
        </w:tc>
        <w:tc>
          <w:tcPr>
            <w:tcW w:type="dxa" w:w="2016"/>
            <w:tcMar>
              <w:top w:w="60" w:type="dxa"/>
              <w:bottom w:w="60" w:type="dxa"/>
              <w:left w:w="60" w:type="dxa"/>
              <w:right w:w="60" w:type="dxa"/>
            </w:tcMar>
          </w:tcPr>
          <w:p>
            <w:r>
              <w:rPr>
                <w:sz w:val="15"/>
              </w:rPr>
              <w:t>Absence de personnel dédié à plein temps / Cahier des charges absent</w:t>
            </w:r>
          </w:p>
        </w:tc>
        <w:tc>
          <w:tcPr>
            <w:tcW w:type="dxa" w:w="2160"/>
            <w:tcMar>
              <w:top w:w="60" w:type="dxa"/>
              <w:bottom w:w="60" w:type="dxa"/>
              <w:left w:w="60" w:type="dxa"/>
              <w:right w:w="60" w:type="dxa"/>
            </w:tcMar>
          </w:tcPr>
          <w:p>
            <w:r>
              <w:rPr>
                <w:sz w:val="15"/>
              </w:rPr>
              <w:t>Cahier des charges approuvé et au moins 1 médecin/pharmacien et 1 soignant dédiés à 100% à la PCI</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1.1.5. Nommer formellement l’équipe des formateurs internes en PCI du CHUMEL</w:t>
            </w:r>
          </w:p>
        </w:tc>
        <w:tc>
          <w:tcPr>
            <w:tcW w:type="dxa" w:w="1296"/>
            <w:tcMar>
              <w:top w:w="60" w:type="dxa"/>
              <w:bottom w:w="60" w:type="dxa"/>
              <w:left w:w="40" w:type="dxa"/>
              <w:right w:w="40" w:type="dxa"/>
            </w:tcMar>
          </w:tcPr>
          <w:p>
            <w:pPr>
              <w:jc w:val="center"/>
            </w:pPr>
            <w:r>
              <w:rPr>
                <w:sz w:val="15"/>
              </w:rPr>
              <w:t>DG / Point focal</w:t>
            </w:r>
          </w:p>
        </w:tc>
        <w:tc>
          <w:tcPr>
            <w:tcW w:type="dxa" w:w="1296"/>
            <w:tcMar>
              <w:top w:w="60" w:type="dxa"/>
              <w:bottom w:w="60" w:type="dxa"/>
              <w:left w:w="40" w:type="dxa"/>
              <w:right w:w="40" w:type="dxa"/>
            </w:tcMar>
          </w:tcPr>
          <w:p>
            <w:pPr>
              <w:jc w:val="center"/>
            </w:pPr>
            <w:r>
              <w:rPr>
                <w:sz w:val="15"/>
              </w:rPr>
              <w:t>Décembre 2026</w:t>
            </w:r>
          </w:p>
        </w:tc>
        <w:tc>
          <w:tcPr>
            <w:tcW w:type="dxa" w:w="2016"/>
            <w:tcMar>
              <w:top w:w="60" w:type="dxa"/>
              <w:bottom w:w="60" w:type="dxa"/>
              <w:left w:w="60" w:type="dxa"/>
              <w:right w:w="60" w:type="dxa"/>
            </w:tcMar>
          </w:tcPr>
          <w:p>
            <w:r>
              <w:rPr>
                <w:sz w:val="15"/>
              </w:rPr>
              <w:t>Pool de formateurs internes non formalisé</w:t>
            </w:r>
          </w:p>
        </w:tc>
        <w:tc>
          <w:tcPr>
            <w:tcW w:type="dxa" w:w="2160"/>
            <w:tcMar>
              <w:top w:w="60" w:type="dxa"/>
              <w:bottom w:w="60" w:type="dxa"/>
              <w:left w:w="60" w:type="dxa"/>
              <w:right w:w="60" w:type="dxa"/>
            </w:tcMar>
          </w:tcPr>
          <w:p>
            <w:r>
              <w:rPr>
                <w:sz w:val="15"/>
              </w:rPr>
              <w:t>Note de service désignant formellement 8 formateurs internes pluridisciplinaires</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1.2. Élaboration, validation, approbation et dissémination du PTA budgétisé</w:t>
            </w:r>
          </w:p>
        </w:tc>
        <w:tc>
          <w:tcPr>
            <w:tcW w:type="dxa" w:w="3888"/>
            <w:tcMar>
              <w:top w:w="60" w:type="dxa"/>
              <w:bottom w:w="60" w:type="dxa"/>
              <w:left w:w="60" w:type="dxa"/>
              <w:right w:w="60" w:type="dxa"/>
            </w:tcMar>
          </w:tcPr>
          <w:p>
            <w:r>
              <w:rPr>
                <w:sz w:val="16"/>
              </w:rPr>
              <w:t>1.2.1. Élaborer le Plan de Travail Annuel (PTA) et le budget prévisionnel PCI/CLIN 2026-2027</w:t>
            </w:r>
          </w:p>
        </w:tc>
        <w:tc>
          <w:tcPr>
            <w:tcW w:type="dxa" w:w="1296"/>
            <w:tcMar>
              <w:top w:w="60" w:type="dxa"/>
              <w:bottom w:w="60" w:type="dxa"/>
              <w:left w:w="40" w:type="dxa"/>
              <w:right w:w="40" w:type="dxa"/>
            </w:tcMar>
          </w:tcPr>
          <w:p>
            <w:pPr>
              <w:jc w:val="center"/>
            </w:pPr>
            <w:r>
              <w:rPr>
                <w:sz w:val="15"/>
              </w:rPr>
              <w:t>Point focal / EOPCI</w:t>
            </w:r>
          </w:p>
        </w:tc>
        <w:tc>
          <w:tcPr>
            <w:tcW w:type="dxa" w:w="1296"/>
            <w:tcMar>
              <w:top w:w="60" w:type="dxa"/>
              <w:bottom w:w="60" w:type="dxa"/>
              <w:left w:w="40" w:type="dxa"/>
              <w:right w:w="40" w:type="dxa"/>
            </w:tcMar>
          </w:tcPr>
          <w:p>
            <w:pPr>
              <w:jc w:val="center"/>
            </w:pPr>
            <w:r>
              <w:rPr>
                <w:sz w:val="15"/>
              </w:rPr>
              <w:t>Octobre 2026</w:t>
            </w:r>
          </w:p>
        </w:tc>
        <w:tc>
          <w:tcPr>
            <w:tcW w:type="dxa" w:w="2016"/>
            <w:tcMar>
              <w:top w:w="60" w:type="dxa"/>
              <w:bottom w:w="60" w:type="dxa"/>
              <w:left w:w="60" w:type="dxa"/>
              <w:right w:w="60" w:type="dxa"/>
            </w:tcMar>
          </w:tcPr>
          <w:p>
            <w:r>
              <w:rPr>
                <w:sz w:val="15"/>
              </w:rPr>
              <w:t>Plan d'action antérieur expiré</w:t>
            </w:r>
          </w:p>
        </w:tc>
        <w:tc>
          <w:tcPr>
            <w:tcW w:type="dxa" w:w="2160"/>
            <w:tcMar>
              <w:top w:w="60" w:type="dxa"/>
              <w:bottom w:w="60" w:type="dxa"/>
              <w:left w:w="60" w:type="dxa"/>
              <w:right w:w="60" w:type="dxa"/>
            </w:tcMar>
          </w:tcPr>
          <w:p>
            <w:r>
              <w:rPr>
                <w:sz w:val="15"/>
              </w:rPr>
              <w:t>Document complet du PTA et budget PCI 2026-2027 finalisé</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1.2.2. Organiser l'atelier de validation institutionnelle du PTA et du budget PCI/CLIN avec les parties prenantes</w:t>
            </w:r>
          </w:p>
        </w:tc>
        <w:tc>
          <w:tcPr>
            <w:tcW w:type="dxa" w:w="1296"/>
            <w:tcMar>
              <w:top w:w="60" w:type="dxa"/>
              <w:bottom w:w="60" w:type="dxa"/>
              <w:left w:w="40" w:type="dxa"/>
              <w:right w:w="40" w:type="dxa"/>
            </w:tcMar>
          </w:tcPr>
          <w:p>
            <w:pPr>
              <w:jc w:val="center"/>
            </w:pPr>
            <w:r>
              <w:rPr>
                <w:sz w:val="15"/>
              </w:rPr>
              <w:t>DG / CLIN / Point focal</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Projet de PTA non encore validé</w:t>
            </w:r>
          </w:p>
        </w:tc>
        <w:tc>
          <w:tcPr>
            <w:tcW w:type="dxa" w:w="2160"/>
            <w:tcMar>
              <w:top w:w="60" w:type="dxa"/>
              <w:bottom w:w="60" w:type="dxa"/>
              <w:left w:w="60" w:type="dxa"/>
              <w:right w:w="60" w:type="dxa"/>
            </w:tcMar>
          </w:tcPr>
          <w:p>
            <w:r>
              <w:rPr>
                <w:sz w:val="15"/>
              </w:rPr>
              <w:t>Rapport d'atelier de validation et document de PTA budgétisé validé par consensus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1.2.3. Approuver officiellement le plan élaboré selon les exigences de l'OMS par la Direction Générale</w:t>
            </w:r>
          </w:p>
        </w:tc>
        <w:tc>
          <w:tcPr>
            <w:tcW w:type="dxa" w:w="1296"/>
            <w:tcMar>
              <w:top w:w="60" w:type="dxa"/>
              <w:bottom w:w="60" w:type="dxa"/>
              <w:left w:w="40" w:type="dxa"/>
              <w:right w:w="40" w:type="dxa"/>
            </w:tcMar>
          </w:tcPr>
          <w:p>
            <w:pPr>
              <w:jc w:val="center"/>
            </w:pPr>
            <w:r>
              <w:rPr>
                <w:sz w:val="15"/>
              </w:rPr>
              <w:t>DG</w:t>
            </w:r>
          </w:p>
        </w:tc>
        <w:tc>
          <w:tcPr>
            <w:tcW w:type="dxa" w:w="1296"/>
            <w:tcMar>
              <w:top w:w="60" w:type="dxa"/>
              <w:bottom w:w="60" w:type="dxa"/>
              <w:left w:w="40" w:type="dxa"/>
              <w:right w:w="40" w:type="dxa"/>
            </w:tcMar>
          </w:tcPr>
          <w:p>
            <w:pPr>
              <w:jc w:val="center"/>
            </w:pPr>
            <w:r>
              <w:rPr>
                <w:sz w:val="15"/>
              </w:rPr>
              <w:t>Décembre 2026</w:t>
            </w:r>
          </w:p>
        </w:tc>
        <w:tc>
          <w:tcPr>
            <w:tcW w:type="dxa" w:w="2016"/>
            <w:tcMar>
              <w:top w:w="60" w:type="dxa"/>
              <w:bottom w:w="60" w:type="dxa"/>
              <w:left w:w="60" w:type="dxa"/>
              <w:right w:w="60" w:type="dxa"/>
            </w:tcMar>
          </w:tcPr>
          <w:p>
            <w:r>
              <w:rPr>
                <w:sz w:val="15"/>
              </w:rPr>
              <w:t>PTA validé en attente d'approbation hiérarchique</w:t>
            </w:r>
          </w:p>
        </w:tc>
        <w:tc>
          <w:tcPr>
            <w:tcW w:type="dxa" w:w="2160"/>
            <w:tcMar>
              <w:top w:w="60" w:type="dxa"/>
              <w:bottom w:w="60" w:type="dxa"/>
              <w:left w:w="60" w:type="dxa"/>
              <w:right w:w="60" w:type="dxa"/>
            </w:tcMar>
          </w:tcPr>
          <w:p>
            <w:r>
              <w:rPr>
                <w:sz w:val="15"/>
              </w:rPr>
              <w:t>PTA officiellement revêtu du visa d'approbation de la DG</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1.2.4. Disséminer et vulgariser le PTA PCI auprès du CLIN et de l'ensemble des départements et services de soins :</w:t>
              <w:br/>
              <w:t>- Multiplier et relier les exemplaires du PTA approuvé</w:t>
              <w:br/>
              <w:t>- Transmettre officiellement aux chefs de pôles et surveillants</w:t>
            </w:r>
          </w:p>
        </w:tc>
        <w:tc>
          <w:tcPr>
            <w:tcW w:type="dxa" w:w="1296"/>
            <w:tcMar>
              <w:top w:w="60" w:type="dxa"/>
              <w:bottom w:w="60" w:type="dxa"/>
              <w:left w:w="40" w:type="dxa"/>
              <w:right w:w="40" w:type="dxa"/>
            </w:tcMar>
          </w:tcPr>
          <w:p>
            <w:pPr>
              <w:jc w:val="center"/>
            </w:pPr>
            <w:r>
              <w:rPr>
                <w:sz w:val="15"/>
              </w:rPr>
              <w:t>Point focal / EOPCI</w:t>
            </w:r>
          </w:p>
        </w:tc>
        <w:tc>
          <w:tcPr>
            <w:tcW w:type="dxa" w:w="1296"/>
            <w:tcMar>
              <w:top w:w="60" w:type="dxa"/>
              <w:bottom w:w="60" w:type="dxa"/>
              <w:left w:w="40" w:type="dxa"/>
              <w:right w:w="40" w:type="dxa"/>
            </w:tcMar>
          </w:tcPr>
          <w:p>
            <w:pPr>
              <w:jc w:val="center"/>
            </w:pPr>
            <w:r>
              <w:rPr>
                <w:sz w:val="15"/>
              </w:rPr>
              <w:t>Janvier 2027</w:t>
            </w:r>
          </w:p>
        </w:tc>
        <w:tc>
          <w:tcPr>
            <w:tcW w:type="dxa" w:w="2016"/>
            <w:tcMar>
              <w:top w:w="60" w:type="dxa"/>
              <w:bottom w:w="60" w:type="dxa"/>
              <w:left w:w="60" w:type="dxa"/>
              <w:right w:w="60" w:type="dxa"/>
            </w:tcMar>
          </w:tcPr>
          <w:p>
            <w:r>
              <w:rPr>
                <w:sz w:val="15"/>
              </w:rPr>
              <w:t>PTA non vulgarisé dans les unités de soins</w:t>
            </w:r>
          </w:p>
        </w:tc>
        <w:tc>
          <w:tcPr>
            <w:tcW w:type="dxa" w:w="2160"/>
            <w:tcMar>
              <w:top w:w="60" w:type="dxa"/>
              <w:bottom w:w="60" w:type="dxa"/>
              <w:left w:w="60" w:type="dxa"/>
              <w:right w:w="60" w:type="dxa"/>
            </w:tcMar>
          </w:tcPr>
          <w:p>
            <w:r>
              <w:rPr>
                <w:sz w:val="15"/>
              </w:rPr>
              <w:t>Bordereau de transmission et diffusion du PTA dans 100% des services hospitaliers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1.2.5. Intégrer le PTA et le budget PCI au Plan Intégré de Travail Annuel (PITA 2027) du CHUMEL</w:t>
            </w:r>
          </w:p>
        </w:tc>
        <w:tc>
          <w:tcPr>
            <w:tcW w:type="dxa" w:w="1296"/>
            <w:tcMar>
              <w:top w:w="60" w:type="dxa"/>
              <w:bottom w:w="60" w:type="dxa"/>
              <w:left w:w="40" w:type="dxa"/>
              <w:right w:w="40" w:type="dxa"/>
            </w:tcMar>
          </w:tcPr>
          <w:p>
            <w:pPr>
              <w:jc w:val="center"/>
            </w:pPr>
            <w:r>
              <w:rPr>
                <w:sz w:val="15"/>
              </w:rPr>
              <w:t>DG / DAF / Point focal</w:t>
            </w:r>
          </w:p>
        </w:tc>
        <w:tc>
          <w:tcPr>
            <w:tcW w:type="dxa" w:w="1296"/>
            <w:tcMar>
              <w:top w:w="60" w:type="dxa"/>
              <w:bottom w:w="60" w:type="dxa"/>
              <w:left w:w="40" w:type="dxa"/>
              <w:right w:w="40" w:type="dxa"/>
            </w:tcMar>
          </w:tcPr>
          <w:p>
            <w:pPr>
              <w:jc w:val="center"/>
            </w:pPr>
            <w:r>
              <w:rPr>
                <w:sz w:val="15"/>
              </w:rPr>
              <w:t>Janvier 2027</w:t>
            </w:r>
          </w:p>
        </w:tc>
        <w:tc>
          <w:tcPr>
            <w:tcW w:type="dxa" w:w="2016"/>
            <w:tcMar>
              <w:top w:w="60" w:type="dxa"/>
              <w:bottom w:w="60" w:type="dxa"/>
              <w:left w:w="60" w:type="dxa"/>
              <w:right w:w="60" w:type="dxa"/>
            </w:tcMar>
          </w:tcPr>
          <w:p>
            <w:r>
              <w:rPr>
                <w:sz w:val="15"/>
              </w:rPr>
              <w:t>Lignes budgétaires PCI non inscrites au budget hospitalier</w:t>
            </w:r>
          </w:p>
        </w:tc>
        <w:tc>
          <w:tcPr>
            <w:tcW w:type="dxa" w:w="2160"/>
            <w:tcMar>
              <w:top w:w="60" w:type="dxa"/>
              <w:bottom w:w="60" w:type="dxa"/>
              <w:left w:w="60" w:type="dxa"/>
              <w:right w:w="60" w:type="dxa"/>
            </w:tcMar>
          </w:tcPr>
          <w:p>
            <w:r>
              <w:rPr>
                <w:sz w:val="15"/>
              </w:rPr>
              <w:t>Lignes budgétaires et activités PCI inscrites et votées dans le PITA 2027 du CHUMEL</w:t>
            </w:r>
          </w:p>
        </w:tc>
        <w:tc>
          <w:tcPr>
            <w:tcW w:type="dxa" w:w="1152"/>
            <w:tcMar>
              <w:top w:w="60" w:type="dxa"/>
              <w:bottom w:w="60" w:type="dxa"/>
              <w:left w:w="40" w:type="dxa"/>
              <w:right w:w="40" w:type="dxa"/>
            </w:tcMar>
          </w:tcPr>
          <w:p>
            <w:pPr>
              <w:jc w:val="center"/>
            </w:pPr>
            <w:r>
              <w:rPr>
                <w:sz w:val="15"/>
              </w:rPr>
              <w:t>Néant</w:t>
            </w:r>
          </w:p>
        </w:tc>
      </w:tr>
      <w:tr>
        <w:trPr>
          <w:cantSplit/>
        </w:trPr>
        <w:tc>
          <w:tcPr>
            <w:tcW w:type="dxa" w:w="1872"/>
            <w:vMerge w:val="restart"/>
            <w:shd w:fill="D9E1F2"/>
            <w:tcMar>
              <w:top w:w="60" w:type="dxa"/>
              <w:bottom w:w="60" w:type="dxa"/>
              <w:left w:w="60" w:type="dxa"/>
              <w:right w:w="60" w:type="dxa"/>
            </w:tcMar>
          </w:tcPr>
          <w:p>
            <w:r>
              <w:rPr>
                <w:b/>
                <w:color w:val="1B365D"/>
                <w:sz w:val="17"/>
              </w:rPr>
              <w:t>II. DIRECTIVES BASÉES SUR DES PREUVES SCIENTIFIQUES</w:t>
            </w:r>
          </w:p>
        </w:tc>
        <w:tc>
          <w:tcPr>
            <w:tcW w:type="dxa" w:w="2304"/>
            <w:vMerge w:val="restart"/>
            <w:shd w:fill="F2F2F2"/>
            <w:tcMar>
              <w:top w:w="60" w:type="dxa"/>
              <w:bottom w:w="60" w:type="dxa"/>
              <w:left w:w="60" w:type="dxa"/>
              <w:right w:w="60" w:type="dxa"/>
            </w:tcMar>
          </w:tcPr>
          <w:p>
            <w:r>
              <w:rPr>
                <w:b/>
                <w:sz w:val="15"/>
              </w:rPr>
              <w:t>2.1. Élaboration, révision et diffusion des lignes directrices et Procédures Opérationnelles Standardisées (POS)</w:t>
            </w:r>
          </w:p>
        </w:tc>
        <w:tc>
          <w:tcPr>
            <w:tcW w:type="dxa" w:w="3888"/>
            <w:tcMar>
              <w:top w:w="60" w:type="dxa"/>
              <w:bottom w:w="60" w:type="dxa"/>
              <w:left w:w="60" w:type="dxa"/>
              <w:right w:w="60" w:type="dxa"/>
            </w:tcMar>
          </w:tcPr>
          <w:p>
            <w:r>
              <w:rPr>
                <w:sz w:val="16"/>
              </w:rPr>
              <w:t>2.1.1. Réaliser la relecture des lignes directrices nationales et internationales (OMS) de PCI et les adapter au contexte du CHUMEL</w:t>
            </w:r>
          </w:p>
        </w:tc>
        <w:tc>
          <w:tcPr>
            <w:tcW w:type="dxa" w:w="1296"/>
            <w:tcMar>
              <w:top w:w="60" w:type="dxa"/>
              <w:bottom w:w="60" w:type="dxa"/>
              <w:left w:w="40" w:type="dxa"/>
              <w:right w:w="40" w:type="dxa"/>
            </w:tcMar>
          </w:tcPr>
          <w:p>
            <w:pPr>
              <w:jc w:val="center"/>
            </w:pPr>
            <w:r>
              <w:rPr>
                <w:sz w:val="15"/>
              </w:rPr>
              <w:t>EOPCI / CLIN</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Lignes directrices obsolètes ou non adaptées au contexte pédiatrique et gynéco-obstétrical</w:t>
            </w:r>
          </w:p>
        </w:tc>
        <w:tc>
          <w:tcPr>
            <w:tcW w:type="dxa" w:w="2160"/>
            <w:tcMar>
              <w:top w:w="60" w:type="dxa"/>
              <w:bottom w:w="60" w:type="dxa"/>
              <w:left w:w="60" w:type="dxa"/>
              <w:right w:w="60" w:type="dxa"/>
            </w:tcMar>
          </w:tcPr>
          <w:p>
            <w:r>
              <w:rPr>
                <w:sz w:val="15"/>
              </w:rPr>
              <w:t>Rapport d'analyse et guide des lignes directrices hospitalières actualisé</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2.1.2. Élaborer, réviser et standardiser le corpus des Procédures Opérationnelles Standardisées (POS) prioritaires :</w:t>
              <w:br/>
              <w:t>1- POS Bionettoyage des locaux, blocs opératoires et néonatologie</w:t>
              <w:br/>
              <w:t>2- POS Cathétérisme veineux périphérique et central</w:t>
              <w:br/>
              <w:t>3- POS Sondage vésical à demeure et soins de sonde</w:t>
              <w:br/>
              <w:t>4- POS Hygiène des mains (lavage simple, hygiénique et friction)</w:t>
              <w:br/>
              <w:t>5- POS Tri, collecte et stockage des Déchets Biomédicaux (DBM)</w:t>
              <w:br/>
              <w:t>6- POS Conduite à tenir en cas d'Accident d'Exposition au Sang (AES)</w:t>
              <w:br/>
              <w:t>7- POS Préparation et contrôle des antiseptiques et désinfectants</w:t>
            </w:r>
          </w:p>
        </w:tc>
        <w:tc>
          <w:tcPr>
            <w:tcW w:type="dxa" w:w="1296"/>
            <w:tcMar>
              <w:top w:w="60" w:type="dxa"/>
              <w:bottom w:w="60" w:type="dxa"/>
              <w:left w:w="40" w:type="dxa"/>
              <w:right w:w="40" w:type="dxa"/>
            </w:tcMar>
          </w:tcPr>
          <w:p>
            <w:pPr>
              <w:jc w:val="center"/>
            </w:pPr>
            <w:r>
              <w:rPr>
                <w:sz w:val="15"/>
              </w:rPr>
              <w:t>EOPCI / Comité de rédaction (8 experts)</w:t>
            </w:r>
          </w:p>
        </w:tc>
        <w:tc>
          <w:tcPr>
            <w:tcW w:type="dxa" w:w="1296"/>
            <w:tcMar>
              <w:top w:w="60" w:type="dxa"/>
              <w:bottom w:w="60" w:type="dxa"/>
              <w:left w:w="40" w:type="dxa"/>
              <w:right w:w="40" w:type="dxa"/>
            </w:tcMar>
          </w:tcPr>
          <w:p>
            <w:pPr>
              <w:jc w:val="center"/>
            </w:pPr>
            <w:r>
              <w:rPr>
                <w:sz w:val="15"/>
              </w:rPr>
              <w:t>Décembre 2026 - Janvier 2027</w:t>
            </w:r>
          </w:p>
        </w:tc>
        <w:tc>
          <w:tcPr>
            <w:tcW w:type="dxa" w:w="2016"/>
            <w:tcMar>
              <w:top w:w="60" w:type="dxa"/>
              <w:bottom w:w="60" w:type="dxa"/>
              <w:left w:w="60" w:type="dxa"/>
              <w:right w:w="60" w:type="dxa"/>
            </w:tcMar>
          </w:tcPr>
          <w:p>
            <w:r>
              <w:rPr>
                <w:sz w:val="15"/>
              </w:rPr>
              <w:t>POS parcellaires, non harmonisées et non signées</w:t>
            </w:r>
          </w:p>
        </w:tc>
        <w:tc>
          <w:tcPr>
            <w:tcW w:type="dxa" w:w="2160"/>
            <w:tcMar>
              <w:top w:w="60" w:type="dxa"/>
              <w:bottom w:w="60" w:type="dxa"/>
              <w:left w:w="60" w:type="dxa"/>
              <w:right w:w="60" w:type="dxa"/>
            </w:tcMar>
          </w:tcPr>
          <w:p>
            <w:r>
              <w:rPr>
                <w:sz w:val="15"/>
              </w:rPr>
              <w:t>Recueil validé de 10 POS prioritaires rédigé selon le standard OMS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2.1.3. Organiser une séance statutaire de validation technique des POS élaborées par le CLIN</w:t>
            </w:r>
          </w:p>
        </w:tc>
        <w:tc>
          <w:tcPr>
            <w:tcW w:type="dxa" w:w="1296"/>
            <w:tcMar>
              <w:top w:w="60" w:type="dxa"/>
              <w:bottom w:w="60" w:type="dxa"/>
              <w:left w:w="40" w:type="dxa"/>
              <w:right w:w="40" w:type="dxa"/>
            </w:tcMar>
          </w:tcPr>
          <w:p>
            <w:pPr>
              <w:jc w:val="center"/>
            </w:pPr>
            <w:r>
              <w:rPr>
                <w:sz w:val="15"/>
              </w:rPr>
              <w:t>CLIN / DG</w:t>
            </w:r>
          </w:p>
        </w:tc>
        <w:tc>
          <w:tcPr>
            <w:tcW w:type="dxa" w:w="1296"/>
            <w:tcMar>
              <w:top w:w="60" w:type="dxa"/>
              <w:bottom w:w="60" w:type="dxa"/>
              <w:left w:w="40" w:type="dxa"/>
              <w:right w:w="40" w:type="dxa"/>
            </w:tcMar>
          </w:tcPr>
          <w:p>
            <w:pPr>
              <w:jc w:val="center"/>
            </w:pPr>
            <w:r>
              <w:rPr>
                <w:sz w:val="15"/>
              </w:rPr>
              <w:t>Février 2027</w:t>
            </w:r>
          </w:p>
        </w:tc>
        <w:tc>
          <w:tcPr>
            <w:tcW w:type="dxa" w:w="2016"/>
            <w:tcMar>
              <w:top w:w="60" w:type="dxa"/>
              <w:bottom w:w="60" w:type="dxa"/>
              <w:left w:w="60" w:type="dxa"/>
              <w:right w:w="60" w:type="dxa"/>
            </w:tcMar>
          </w:tcPr>
          <w:p>
            <w:r>
              <w:rPr>
                <w:sz w:val="15"/>
              </w:rPr>
              <w:t>Projets de POS en attente de validation</w:t>
            </w:r>
          </w:p>
        </w:tc>
        <w:tc>
          <w:tcPr>
            <w:tcW w:type="dxa" w:w="2160"/>
            <w:tcMar>
              <w:top w:w="60" w:type="dxa"/>
              <w:bottom w:w="60" w:type="dxa"/>
              <w:left w:w="60" w:type="dxa"/>
              <w:right w:w="60" w:type="dxa"/>
            </w:tcMar>
          </w:tcPr>
          <w:p>
            <w:r>
              <w:rPr>
                <w:sz w:val="15"/>
              </w:rPr>
              <w:t>Procès-verbal de validation technique et décision d'application obligatoire signée par la DG</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2.1.4. Mettre à disposition, reproduire et plastifier les classeurs de POS et fiches réflexes dans l'ensemble des services de soins</w:t>
            </w:r>
          </w:p>
        </w:tc>
        <w:tc>
          <w:tcPr>
            <w:tcW w:type="dxa" w:w="1296"/>
            <w:tcMar>
              <w:top w:w="60" w:type="dxa"/>
              <w:bottom w:w="60" w:type="dxa"/>
              <w:left w:w="40" w:type="dxa"/>
              <w:right w:w="40" w:type="dxa"/>
            </w:tcMar>
          </w:tcPr>
          <w:p>
            <w:pPr>
              <w:jc w:val="center"/>
            </w:pPr>
            <w:r>
              <w:rPr>
                <w:sz w:val="15"/>
              </w:rPr>
              <w:t>EOPCI / Économat</w:t>
            </w:r>
          </w:p>
        </w:tc>
        <w:tc>
          <w:tcPr>
            <w:tcW w:type="dxa" w:w="1296"/>
            <w:tcMar>
              <w:top w:w="60" w:type="dxa"/>
              <w:bottom w:w="60" w:type="dxa"/>
              <w:left w:w="40" w:type="dxa"/>
              <w:right w:w="40" w:type="dxa"/>
            </w:tcMar>
          </w:tcPr>
          <w:p>
            <w:pPr>
              <w:jc w:val="center"/>
            </w:pPr>
            <w:r>
              <w:rPr>
                <w:sz w:val="15"/>
              </w:rPr>
              <w:t>Mars 2027</w:t>
            </w:r>
          </w:p>
        </w:tc>
        <w:tc>
          <w:tcPr>
            <w:tcW w:type="dxa" w:w="2016"/>
            <w:tcMar>
              <w:top w:w="60" w:type="dxa"/>
              <w:bottom w:w="60" w:type="dxa"/>
              <w:left w:w="60" w:type="dxa"/>
              <w:right w:w="60" w:type="dxa"/>
            </w:tcMar>
          </w:tcPr>
          <w:p>
            <w:r>
              <w:rPr>
                <w:sz w:val="15"/>
              </w:rPr>
              <w:t>Absence de classeurs physiques de POS dans les postes de soins</w:t>
            </w:r>
          </w:p>
        </w:tc>
        <w:tc>
          <w:tcPr>
            <w:tcW w:type="dxa" w:w="2160"/>
            <w:tcMar>
              <w:top w:w="60" w:type="dxa"/>
              <w:bottom w:w="60" w:type="dxa"/>
              <w:left w:w="60" w:type="dxa"/>
              <w:right w:w="60" w:type="dxa"/>
            </w:tcMar>
          </w:tcPr>
          <w:p>
            <w:r>
              <w:rPr>
                <w:sz w:val="15"/>
              </w:rPr>
              <w:t>20 classeurs complets de POS plastifiés installés dans 100% des postes de soins et blocs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2.1.5. Conduire des séances de briefing et d'appropriation des POS auprès du personnel soignant des pôles</w:t>
            </w:r>
          </w:p>
        </w:tc>
        <w:tc>
          <w:tcPr>
            <w:tcW w:type="dxa" w:w="1296"/>
            <w:tcMar>
              <w:top w:w="60" w:type="dxa"/>
              <w:bottom w:w="60" w:type="dxa"/>
              <w:left w:w="40" w:type="dxa"/>
              <w:right w:w="40" w:type="dxa"/>
            </w:tcMar>
          </w:tcPr>
          <w:p>
            <w:pPr>
              <w:jc w:val="center"/>
            </w:pPr>
            <w:r>
              <w:rPr>
                <w:sz w:val="15"/>
              </w:rPr>
              <w:t>Formateurs internes / EOPCI</w:t>
            </w:r>
          </w:p>
        </w:tc>
        <w:tc>
          <w:tcPr>
            <w:tcW w:type="dxa" w:w="1296"/>
            <w:tcMar>
              <w:top w:w="60" w:type="dxa"/>
              <w:bottom w:w="60" w:type="dxa"/>
              <w:left w:w="40" w:type="dxa"/>
              <w:right w:w="40" w:type="dxa"/>
            </w:tcMar>
          </w:tcPr>
          <w:p>
            <w:pPr>
              <w:jc w:val="center"/>
            </w:pPr>
            <w:r>
              <w:rPr>
                <w:sz w:val="15"/>
              </w:rPr>
              <w:t>Mars - Avril 2027</w:t>
            </w:r>
          </w:p>
        </w:tc>
        <w:tc>
          <w:tcPr>
            <w:tcW w:type="dxa" w:w="2016"/>
            <w:tcMar>
              <w:top w:w="60" w:type="dxa"/>
              <w:bottom w:w="60" w:type="dxa"/>
              <w:left w:w="60" w:type="dxa"/>
              <w:right w:w="60" w:type="dxa"/>
            </w:tcMar>
          </w:tcPr>
          <w:p>
            <w:r>
              <w:rPr>
                <w:sz w:val="15"/>
              </w:rPr>
              <w:t>Méconnaissance des protocoles par les équipes de garde</w:t>
            </w:r>
          </w:p>
        </w:tc>
        <w:tc>
          <w:tcPr>
            <w:tcW w:type="dxa" w:w="2160"/>
            <w:tcMar>
              <w:top w:w="60" w:type="dxa"/>
              <w:bottom w:w="60" w:type="dxa"/>
              <w:left w:w="60" w:type="dxa"/>
              <w:right w:w="60" w:type="dxa"/>
            </w:tcMar>
          </w:tcPr>
          <w:p>
            <w:r>
              <w:rPr>
                <w:sz w:val="15"/>
              </w:rPr>
              <w:t>Au moins 80% des équipes soignantes briefées avec feuilles d'émargement</w:t>
            </w:r>
          </w:p>
        </w:tc>
        <w:tc>
          <w:tcPr>
            <w:tcW w:type="dxa" w:w="1152"/>
            <w:tcMar>
              <w:top w:w="60" w:type="dxa"/>
              <w:bottom w:w="60" w:type="dxa"/>
              <w:left w:w="40" w:type="dxa"/>
              <w:right w:w="40" w:type="dxa"/>
            </w:tcMar>
          </w:tcPr>
          <w:p>
            <w:pPr>
              <w:jc w:val="center"/>
            </w:pPr>
            <w:r>
              <w:rPr>
                <w:b/>
                <w:sz w:val="15"/>
              </w:rPr>
              <w:t>FP</w:t>
            </w:r>
          </w:p>
        </w:tc>
      </w:tr>
      <w:tr>
        <w:trPr>
          <w:cantSplit/>
        </w:trPr>
        <w:tc>
          <w:tcPr>
            <w:tcW w:type="dxa" w:w="1872"/>
            <w:vMerge w:val="restart"/>
            <w:shd w:fill="D9E1F2"/>
            <w:tcMar>
              <w:top w:w="60" w:type="dxa"/>
              <w:bottom w:w="60" w:type="dxa"/>
              <w:left w:w="60" w:type="dxa"/>
              <w:right w:w="60" w:type="dxa"/>
            </w:tcMar>
          </w:tcPr>
          <w:p>
            <w:r>
              <w:rPr>
                <w:b/>
                <w:color w:val="1B365D"/>
                <w:sz w:val="17"/>
              </w:rPr>
              <w:t>III. FORMATION ET ÉDUCATION EN PCI</w:t>
            </w:r>
          </w:p>
        </w:tc>
        <w:tc>
          <w:tcPr>
            <w:tcW w:type="dxa" w:w="2304"/>
            <w:vMerge w:val="restart"/>
            <w:shd w:fill="F2F2F2"/>
            <w:tcMar>
              <w:top w:w="60" w:type="dxa"/>
              <w:bottom w:w="60" w:type="dxa"/>
              <w:left w:w="60" w:type="dxa"/>
              <w:right w:w="60" w:type="dxa"/>
            </w:tcMar>
          </w:tcPr>
          <w:p>
            <w:r>
              <w:rPr>
                <w:b/>
                <w:sz w:val="15"/>
              </w:rPr>
              <w:t>3.1. Planification et formation continue du personnel soignant et médico-technique</w:t>
            </w:r>
          </w:p>
        </w:tc>
        <w:tc>
          <w:tcPr>
            <w:tcW w:type="dxa" w:w="3888"/>
            <w:tcMar>
              <w:top w:w="60" w:type="dxa"/>
              <w:bottom w:w="60" w:type="dxa"/>
              <w:left w:w="60" w:type="dxa"/>
              <w:right w:w="60" w:type="dxa"/>
            </w:tcMar>
          </w:tcPr>
          <w:p>
            <w:r>
              <w:rPr>
                <w:sz w:val="16"/>
              </w:rPr>
              <w:t>3.1.1. Faire un planning annuel de formation du personnel hospitalier en PCI :</w:t>
              <w:br/>
              <w:t>- Recueillir et analyser les besoins en formation</w:t>
              <w:br/>
              <w:t>- Élaborer les modules pédagogiques et le calendrier annuel</w:t>
            </w:r>
          </w:p>
        </w:tc>
        <w:tc>
          <w:tcPr>
            <w:tcW w:type="dxa" w:w="1296"/>
            <w:tcMar>
              <w:top w:w="60" w:type="dxa"/>
              <w:bottom w:w="60" w:type="dxa"/>
              <w:left w:w="40" w:type="dxa"/>
              <w:right w:w="40" w:type="dxa"/>
            </w:tcMar>
          </w:tcPr>
          <w:p>
            <w:pPr>
              <w:jc w:val="center"/>
            </w:pPr>
            <w:r>
              <w:rPr>
                <w:sz w:val="15"/>
              </w:rPr>
              <w:t>Point focal / EOPCI</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Formations antérieures ponctuelles sans plan formalisé</w:t>
            </w:r>
          </w:p>
        </w:tc>
        <w:tc>
          <w:tcPr>
            <w:tcW w:type="dxa" w:w="2160"/>
            <w:tcMar>
              <w:top w:w="60" w:type="dxa"/>
              <w:bottom w:w="60" w:type="dxa"/>
              <w:left w:w="60" w:type="dxa"/>
              <w:right w:w="60" w:type="dxa"/>
            </w:tcMar>
          </w:tcPr>
          <w:p>
            <w:r>
              <w:rPr>
                <w:sz w:val="15"/>
              </w:rPr>
              <w:t>Plan annuel de formation PCI 2026-2027 approuvé par la Direction</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3.1.2. Faire un planning de formation continue et de perfectionnement pour l'équipe PCI et les formateurs internes</w:t>
            </w:r>
          </w:p>
        </w:tc>
        <w:tc>
          <w:tcPr>
            <w:tcW w:type="dxa" w:w="1296"/>
            <w:tcMar>
              <w:top w:w="60" w:type="dxa"/>
              <w:bottom w:w="60" w:type="dxa"/>
              <w:left w:w="40" w:type="dxa"/>
              <w:right w:w="40" w:type="dxa"/>
            </w:tcMar>
          </w:tcPr>
          <w:p>
            <w:pPr>
              <w:jc w:val="center"/>
            </w:pPr>
            <w:r>
              <w:rPr>
                <w:sz w:val="15"/>
              </w:rPr>
              <w:t>Point focal / CLIN</w:t>
            </w:r>
          </w:p>
        </w:tc>
        <w:tc>
          <w:tcPr>
            <w:tcW w:type="dxa" w:w="1296"/>
            <w:tcMar>
              <w:top w:w="60" w:type="dxa"/>
              <w:bottom w:w="60" w:type="dxa"/>
              <w:left w:w="40" w:type="dxa"/>
              <w:right w:w="40" w:type="dxa"/>
            </w:tcMar>
          </w:tcPr>
          <w:p>
            <w:pPr>
              <w:jc w:val="center"/>
            </w:pPr>
            <w:r>
              <w:rPr>
                <w:sz w:val="15"/>
              </w:rPr>
              <w:t>Décembre 2026</w:t>
            </w:r>
          </w:p>
        </w:tc>
        <w:tc>
          <w:tcPr>
            <w:tcW w:type="dxa" w:w="2016"/>
            <w:tcMar>
              <w:top w:w="60" w:type="dxa"/>
              <w:bottom w:w="60" w:type="dxa"/>
              <w:left w:w="60" w:type="dxa"/>
              <w:right w:w="60" w:type="dxa"/>
            </w:tcMar>
          </w:tcPr>
          <w:p>
            <w:r>
              <w:rPr>
                <w:sz w:val="15"/>
              </w:rPr>
              <w:t>Mise à jour hétérogène des compétences de l'équipe</w:t>
            </w:r>
          </w:p>
        </w:tc>
        <w:tc>
          <w:tcPr>
            <w:tcW w:type="dxa" w:w="2160"/>
            <w:tcMar>
              <w:top w:w="60" w:type="dxa"/>
              <w:bottom w:w="60" w:type="dxa"/>
              <w:left w:w="60" w:type="dxa"/>
              <w:right w:w="60" w:type="dxa"/>
            </w:tcMar>
          </w:tcPr>
          <w:p>
            <w:r>
              <w:rPr>
                <w:sz w:val="15"/>
              </w:rPr>
              <w:t>Planning de formation continue exécuté (4 modules de perfectionnement)</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3.1.3. Former l'ensemble du personnel soignant aux Précautions Standard et Précautions Complémentaires une fois par an (focus COVID-19, Fièvre de Lassa, Mpox) :</w:t>
              <w:br/>
              <w:t>- Diffuser les notes de service et plannings de passage</w:t>
              <w:br/>
              <w:t>- Dispenser les sessions modulaires (500 professionnels ciblés)</w:t>
              <w:br/>
              <w:t>- Réaliser les pré-tests et post-tests de compétences</w:t>
            </w:r>
          </w:p>
        </w:tc>
        <w:tc>
          <w:tcPr>
            <w:tcW w:type="dxa" w:w="1296"/>
            <w:tcMar>
              <w:top w:w="60" w:type="dxa"/>
              <w:bottom w:w="60" w:type="dxa"/>
              <w:left w:w="40" w:type="dxa"/>
              <w:right w:w="40" w:type="dxa"/>
            </w:tcMar>
          </w:tcPr>
          <w:p>
            <w:pPr>
              <w:jc w:val="center"/>
            </w:pPr>
            <w:r>
              <w:rPr>
                <w:sz w:val="15"/>
              </w:rPr>
              <w:t>Formateurs internes / EOPCI / DG</w:t>
            </w:r>
          </w:p>
        </w:tc>
        <w:tc>
          <w:tcPr>
            <w:tcW w:type="dxa" w:w="1296"/>
            <w:tcMar>
              <w:top w:w="60" w:type="dxa"/>
              <w:bottom w:w="60" w:type="dxa"/>
              <w:left w:w="40" w:type="dxa"/>
              <w:right w:w="40" w:type="dxa"/>
            </w:tcMar>
          </w:tcPr>
          <w:p>
            <w:pPr>
              <w:jc w:val="center"/>
            </w:pPr>
            <w:r>
              <w:rPr>
                <w:sz w:val="15"/>
              </w:rPr>
              <w:t>Janvier - Mars 2027</w:t>
            </w:r>
          </w:p>
        </w:tc>
        <w:tc>
          <w:tcPr>
            <w:tcW w:type="dxa" w:w="2016"/>
            <w:tcMar>
              <w:top w:w="60" w:type="dxa"/>
              <w:bottom w:w="60" w:type="dxa"/>
              <w:left w:w="60" w:type="dxa"/>
              <w:right w:w="60" w:type="dxa"/>
            </w:tcMar>
          </w:tcPr>
          <w:p>
            <w:r>
              <w:rPr>
                <w:sz w:val="15"/>
              </w:rPr>
              <w:t>Personnel soignant formé à moins de 35% sur les nouvelles directives</w:t>
            </w:r>
          </w:p>
        </w:tc>
        <w:tc>
          <w:tcPr>
            <w:tcW w:type="dxa" w:w="2160"/>
            <w:tcMar>
              <w:top w:w="60" w:type="dxa"/>
              <w:bottom w:w="60" w:type="dxa"/>
              <w:left w:w="60" w:type="dxa"/>
              <w:right w:w="60" w:type="dxa"/>
            </w:tcMar>
          </w:tcPr>
          <w:p>
            <w:r>
              <w:rPr>
                <w:sz w:val="15"/>
              </w:rPr>
              <w:t>500 professionnels de santé formés, évalués et attestés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2304"/>
            <w:shd w:fill="F2F2F2"/>
            <w:tcMar>
              <w:top w:w="60" w:type="dxa"/>
              <w:bottom w:w="60" w:type="dxa"/>
              <w:left w:w="60" w:type="dxa"/>
              <w:right w:w="60" w:type="dxa"/>
            </w:tcMar>
          </w:tcPr>
          <w:p>
            <w:r>
              <w:rPr>
                <w:b/>
                <w:sz w:val="15"/>
              </w:rPr>
              <w:t>3.2. Formation pratique des agents d'entretien et aides-soignants sur le bionettoyage</w:t>
            </w:r>
          </w:p>
        </w:tc>
        <w:tc>
          <w:tcPr>
            <w:tcW w:type="dxa" w:w="3888"/>
            <w:tcMar>
              <w:top w:w="60" w:type="dxa"/>
              <w:bottom w:w="60" w:type="dxa"/>
              <w:left w:w="60" w:type="dxa"/>
              <w:right w:w="60" w:type="dxa"/>
            </w:tcMar>
          </w:tcPr>
          <w:p>
            <w:r>
              <w:rPr>
                <w:sz w:val="16"/>
              </w:rPr>
              <w:t>3.2.1. Organiser des sessions pratiques de formation des agents d’entretien et aides-soignants sur le bionettoyage hospitalier :</w:t>
              <w:br/>
              <w:t>- Techniques de bionettoyage (du plus propre vers le plus sale)</w:t>
              <w:br/>
              <w:t>- Dilution et dosage corrects des détergents-désinfectants</w:t>
              <w:br/>
              <w:t>- Gestion sécurisée des excréta et du linge souillé (300 agents ciblés)</w:t>
            </w:r>
          </w:p>
        </w:tc>
        <w:tc>
          <w:tcPr>
            <w:tcW w:type="dxa" w:w="1296"/>
            <w:tcMar>
              <w:top w:w="60" w:type="dxa"/>
              <w:bottom w:w="60" w:type="dxa"/>
              <w:left w:w="40" w:type="dxa"/>
              <w:right w:w="40" w:type="dxa"/>
            </w:tcMar>
          </w:tcPr>
          <w:p>
            <w:pPr>
              <w:jc w:val="center"/>
            </w:pPr>
            <w:r>
              <w:rPr>
                <w:sz w:val="15"/>
              </w:rPr>
              <w:t>Formateurs internes / EOPCI</w:t>
            </w:r>
          </w:p>
        </w:tc>
        <w:tc>
          <w:tcPr>
            <w:tcW w:type="dxa" w:w="1296"/>
            <w:tcMar>
              <w:top w:w="60" w:type="dxa"/>
              <w:bottom w:w="60" w:type="dxa"/>
              <w:left w:w="40" w:type="dxa"/>
              <w:right w:w="40" w:type="dxa"/>
            </w:tcMar>
          </w:tcPr>
          <w:p>
            <w:pPr>
              <w:jc w:val="center"/>
            </w:pPr>
            <w:r>
              <w:rPr>
                <w:sz w:val="15"/>
              </w:rPr>
              <w:t>Février - Avril 2027</w:t>
            </w:r>
          </w:p>
        </w:tc>
        <w:tc>
          <w:tcPr>
            <w:tcW w:type="dxa" w:w="2016"/>
            <w:tcMar>
              <w:top w:w="60" w:type="dxa"/>
              <w:bottom w:w="60" w:type="dxa"/>
              <w:left w:w="60" w:type="dxa"/>
              <w:right w:w="60" w:type="dxa"/>
            </w:tcMar>
          </w:tcPr>
          <w:p>
            <w:r>
              <w:rPr>
                <w:sz w:val="15"/>
              </w:rPr>
              <w:t>Pratiques empiriques et erreurs de dilution des produits</w:t>
            </w:r>
          </w:p>
        </w:tc>
        <w:tc>
          <w:tcPr>
            <w:tcW w:type="dxa" w:w="2160"/>
            <w:tcMar>
              <w:top w:w="60" w:type="dxa"/>
              <w:bottom w:w="60" w:type="dxa"/>
              <w:left w:w="60" w:type="dxa"/>
              <w:right w:w="60" w:type="dxa"/>
            </w:tcMar>
          </w:tcPr>
          <w:p>
            <w:r>
              <w:rPr>
                <w:sz w:val="15"/>
              </w:rPr>
              <w:t>300 agents d'entretien et aides-soignants formés avec évaluation pratique sur site</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3.3. Éducation sanitaire des usagers et participation aux congrès scientifiques</w:t>
            </w:r>
          </w:p>
        </w:tc>
        <w:tc>
          <w:tcPr>
            <w:tcW w:type="dxa" w:w="3888"/>
            <w:tcMar>
              <w:top w:w="60" w:type="dxa"/>
              <w:bottom w:w="60" w:type="dxa"/>
              <w:left w:w="60" w:type="dxa"/>
              <w:right w:w="60" w:type="dxa"/>
            </w:tcMar>
          </w:tcPr>
          <w:p>
            <w:r>
              <w:rPr>
                <w:sz w:val="16"/>
              </w:rPr>
              <w:t>3.3.1. Organiser des séances régulières d'éducation et de sensibilisation sur les pratiques d’hygiène de base pour les patients et les accompagnants :</w:t>
              <w:br/>
              <w:t>- Hygiène des mains et utilisation correcte des distributeurs de savon/PHA</w:t>
              <w:br/>
              <w:t>- Propreté des chambres et tri des déchets ménagers</w:t>
            </w:r>
          </w:p>
        </w:tc>
        <w:tc>
          <w:tcPr>
            <w:tcW w:type="dxa" w:w="1296"/>
            <w:tcMar>
              <w:top w:w="60" w:type="dxa"/>
              <w:bottom w:w="60" w:type="dxa"/>
              <w:left w:w="40" w:type="dxa"/>
              <w:right w:w="40" w:type="dxa"/>
            </w:tcMar>
          </w:tcPr>
          <w:p>
            <w:pPr>
              <w:jc w:val="center"/>
            </w:pPr>
            <w:r>
              <w:rPr>
                <w:sz w:val="15"/>
              </w:rPr>
              <w:t>EOPCI / Points focaux services / Service social</w:t>
            </w:r>
          </w:p>
        </w:tc>
        <w:tc>
          <w:tcPr>
            <w:tcW w:type="dxa" w:w="1296"/>
            <w:tcMar>
              <w:top w:w="60" w:type="dxa"/>
              <w:bottom w:w="60" w:type="dxa"/>
              <w:left w:w="40" w:type="dxa"/>
              <w:right w:w="40" w:type="dxa"/>
            </w:tcMar>
          </w:tcPr>
          <w:p>
            <w:pPr>
              <w:jc w:val="center"/>
            </w:pPr>
            <w:r>
              <w:rPr>
                <w:sz w:val="15"/>
              </w:rPr>
              <w:t>Continu (Nov. 2026 - Sept. 2027)</w:t>
            </w:r>
          </w:p>
        </w:tc>
        <w:tc>
          <w:tcPr>
            <w:tcW w:type="dxa" w:w="2016"/>
            <w:tcMar>
              <w:top w:w="60" w:type="dxa"/>
              <w:bottom w:w="60" w:type="dxa"/>
              <w:left w:w="60" w:type="dxa"/>
              <w:right w:w="60" w:type="dxa"/>
            </w:tcMar>
          </w:tcPr>
          <w:p>
            <w:r>
              <w:rPr>
                <w:sz w:val="15"/>
              </w:rPr>
              <w:t>Absence de sensibilisation structurée des usagers</w:t>
            </w:r>
          </w:p>
        </w:tc>
        <w:tc>
          <w:tcPr>
            <w:tcW w:type="dxa" w:w="2160"/>
            <w:tcMar>
              <w:top w:w="60" w:type="dxa"/>
              <w:bottom w:w="60" w:type="dxa"/>
              <w:left w:w="60" w:type="dxa"/>
              <w:right w:w="60" w:type="dxa"/>
            </w:tcMar>
          </w:tcPr>
          <w:p>
            <w:r>
              <w:rPr>
                <w:sz w:val="15"/>
              </w:rPr>
              <w:t>Au moins 2 séances d'éducation par semaine par service (&gt; 2 000 accompagnants touchés)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3.3.2. Assurer la participation de la délégation du CHUMEL aux congrès scientifiques de PCI (SB2HPCI / HBEEPTI) (15 membres ciblés)</w:t>
            </w:r>
          </w:p>
        </w:tc>
        <w:tc>
          <w:tcPr>
            <w:tcW w:type="dxa" w:w="1296"/>
            <w:tcMar>
              <w:top w:w="60" w:type="dxa"/>
              <w:bottom w:w="60" w:type="dxa"/>
              <w:left w:w="40" w:type="dxa"/>
              <w:right w:w="40" w:type="dxa"/>
            </w:tcMar>
          </w:tcPr>
          <w:p>
            <w:pPr>
              <w:jc w:val="center"/>
            </w:pPr>
            <w:r>
              <w:rPr>
                <w:sz w:val="15"/>
              </w:rPr>
              <w:t>DG / Point focal PCI</w:t>
            </w:r>
          </w:p>
        </w:tc>
        <w:tc>
          <w:tcPr>
            <w:tcW w:type="dxa" w:w="1296"/>
            <w:tcMar>
              <w:top w:w="60" w:type="dxa"/>
              <w:bottom w:w="60" w:type="dxa"/>
              <w:left w:w="40" w:type="dxa"/>
              <w:right w:w="40" w:type="dxa"/>
            </w:tcMar>
          </w:tcPr>
          <w:p>
            <w:pPr>
              <w:jc w:val="center"/>
            </w:pPr>
            <w:r>
              <w:rPr>
                <w:sz w:val="15"/>
              </w:rPr>
              <w:t>Mai - Juin 2027</w:t>
            </w:r>
          </w:p>
        </w:tc>
        <w:tc>
          <w:tcPr>
            <w:tcW w:type="dxa" w:w="2016"/>
            <w:tcMar>
              <w:top w:w="60" w:type="dxa"/>
              <w:bottom w:w="60" w:type="dxa"/>
              <w:left w:w="60" w:type="dxa"/>
              <w:right w:w="60" w:type="dxa"/>
            </w:tcMar>
          </w:tcPr>
          <w:p>
            <w:r>
              <w:rPr>
                <w:sz w:val="15"/>
              </w:rPr>
              <w:t>Participation irrégulière sans partage systématique</w:t>
            </w:r>
          </w:p>
        </w:tc>
        <w:tc>
          <w:tcPr>
            <w:tcW w:type="dxa" w:w="2160"/>
            <w:tcMar>
              <w:top w:w="60" w:type="dxa"/>
              <w:bottom w:w="60" w:type="dxa"/>
              <w:left w:w="60" w:type="dxa"/>
              <w:right w:w="60" w:type="dxa"/>
            </w:tcMar>
          </w:tcPr>
          <w:p>
            <w:r>
              <w:rPr>
                <w:sz w:val="15"/>
              </w:rPr>
              <w:t>15 professionnels ayant participé au congrès et restitution formelle faite au CLIN</w:t>
            </w:r>
          </w:p>
        </w:tc>
        <w:tc>
          <w:tcPr>
            <w:tcW w:type="dxa" w:w="1152"/>
            <w:tcMar>
              <w:top w:w="60" w:type="dxa"/>
              <w:bottom w:w="60" w:type="dxa"/>
              <w:left w:w="40" w:type="dxa"/>
              <w:right w:w="40" w:type="dxa"/>
            </w:tcMar>
          </w:tcPr>
          <w:p>
            <w:pPr>
              <w:jc w:val="center"/>
            </w:pPr>
            <w:r>
              <w:rPr>
                <w:b/>
                <w:sz w:val="15"/>
              </w:rPr>
              <w:t>FP</w:t>
            </w:r>
          </w:p>
        </w:tc>
      </w:tr>
      <w:tr>
        <w:trPr>
          <w:cantSplit/>
        </w:trPr>
        <w:tc>
          <w:tcPr>
            <w:tcW w:type="dxa" w:w="1872"/>
            <w:vMerge w:val="restart"/>
            <w:shd w:fill="D9E1F2"/>
            <w:tcMar>
              <w:top w:w="60" w:type="dxa"/>
              <w:bottom w:w="60" w:type="dxa"/>
              <w:left w:w="60" w:type="dxa"/>
              <w:right w:w="60" w:type="dxa"/>
            </w:tcMar>
          </w:tcPr>
          <w:p>
            <w:r>
              <w:rPr>
                <w:b/>
                <w:color w:val="1B365D"/>
                <w:sz w:val="17"/>
              </w:rPr>
              <w:t>IV. GOUVERNANCE</w:t>
            </w:r>
          </w:p>
        </w:tc>
        <w:tc>
          <w:tcPr>
            <w:tcW w:type="dxa" w:w="2304"/>
            <w:vMerge w:val="restart"/>
            <w:shd w:fill="F2F2F2"/>
            <w:tcMar>
              <w:top w:w="60" w:type="dxa"/>
              <w:bottom w:w="60" w:type="dxa"/>
              <w:left w:w="60" w:type="dxa"/>
              <w:right w:w="60" w:type="dxa"/>
            </w:tcMar>
          </w:tcPr>
          <w:p>
            <w:r>
              <w:rPr>
                <w:b/>
                <w:sz w:val="15"/>
              </w:rPr>
              <w:t>4.1. Animation des instances de coordination et de pilotage stratégique</w:t>
            </w:r>
          </w:p>
        </w:tc>
        <w:tc>
          <w:tcPr>
            <w:tcW w:type="dxa" w:w="3888"/>
            <w:tcMar>
              <w:top w:w="60" w:type="dxa"/>
              <w:bottom w:w="60" w:type="dxa"/>
              <w:left w:w="60" w:type="dxa"/>
              <w:right w:w="60" w:type="dxa"/>
            </w:tcMar>
          </w:tcPr>
          <w:p>
            <w:r>
              <w:rPr>
                <w:sz w:val="16"/>
              </w:rPr>
              <w:t>4.1.1. Organiser les réunions hebdomadaires de l’équipe opérationnelle PCI (EOPCI) :</w:t>
              <w:br/>
              <w:t>- Analyser les alertes infectieuses et incidents de la semaine</w:t>
              <w:br/>
              <w:t>- Coordonner les activités de terrain et les supervisions</w:t>
            </w:r>
          </w:p>
        </w:tc>
        <w:tc>
          <w:tcPr>
            <w:tcW w:type="dxa" w:w="1296"/>
            <w:tcMar>
              <w:top w:w="60" w:type="dxa"/>
              <w:bottom w:w="60" w:type="dxa"/>
              <w:left w:w="40" w:type="dxa"/>
              <w:right w:w="40" w:type="dxa"/>
            </w:tcMar>
          </w:tcPr>
          <w:p>
            <w:pPr>
              <w:jc w:val="center"/>
            </w:pPr>
            <w:r>
              <w:rPr>
                <w:sz w:val="15"/>
              </w:rPr>
              <w:t>Point focal / EOPCI</w:t>
            </w:r>
          </w:p>
        </w:tc>
        <w:tc>
          <w:tcPr>
            <w:tcW w:type="dxa" w:w="1296"/>
            <w:tcMar>
              <w:top w:w="60" w:type="dxa"/>
              <w:bottom w:w="60" w:type="dxa"/>
              <w:left w:w="40" w:type="dxa"/>
              <w:right w:w="40" w:type="dxa"/>
            </w:tcMar>
          </w:tcPr>
          <w:p>
            <w:pPr>
              <w:jc w:val="center"/>
            </w:pPr>
            <w:r>
              <w:rPr>
                <w:sz w:val="15"/>
              </w:rPr>
              <w:t>Hebdomadaire (Oct. 2026 - Sept. 2027)</w:t>
            </w:r>
          </w:p>
        </w:tc>
        <w:tc>
          <w:tcPr>
            <w:tcW w:type="dxa" w:w="2016"/>
            <w:tcMar>
              <w:top w:w="60" w:type="dxa"/>
              <w:bottom w:w="60" w:type="dxa"/>
              <w:left w:w="60" w:type="dxa"/>
              <w:right w:w="60" w:type="dxa"/>
            </w:tcMar>
          </w:tcPr>
          <w:p>
            <w:r>
              <w:rPr>
                <w:sz w:val="15"/>
              </w:rPr>
              <w:t>Réunions d'équipe irrégulières</w:t>
            </w:r>
          </w:p>
        </w:tc>
        <w:tc>
          <w:tcPr>
            <w:tcW w:type="dxa" w:w="2160"/>
            <w:tcMar>
              <w:top w:w="60" w:type="dxa"/>
              <w:bottom w:w="60" w:type="dxa"/>
              <w:left w:w="60" w:type="dxa"/>
              <w:right w:w="60" w:type="dxa"/>
            </w:tcMar>
          </w:tcPr>
          <w:p>
            <w:r>
              <w:rPr>
                <w:sz w:val="15"/>
              </w:rPr>
              <w:t>48 à 52 comptes-rendus de réunion hebdomadaire archivés</w:t>
            </w:r>
          </w:p>
        </w:tc>
        <w:tc>
          <w:tcPr>
            <w:tcW w:type="dxa" w:w="1152"/>
            <w:tcMar>
              <w:top w:w="60" w:type="dxa"/>
              <w:bottom w:w="60" w:type="dxa"/>
              <w:left w:w="40" w:type="dxa"/>
              <w:right w:w="40" w:type="dxa"/>
            </w:tcMar>
          </w:tcPr>
          <w:p>
            <w:pPr>
              <w:jc w:val="center"/>
            </w:pPr>
            <w:r>
              <w:rPr>
                <w:b/>
                <w:sz w:val="15"/>
              </w:rPr>
              <w:t>FP / 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4.1.2. Organiser les réunions trimestrielles statutaires du Comité de Lutte contre les Infections Nosocomiales (CLIN) :</w:t>
              <w:br/>
              <w:t>- Présentation des bilans trimestriels et des tableaux de bord</w:t>
              <w:br/>
              <w:t>- Examen des rapports d'audit et de surveillance microbiologique</w:t>
              <w:br/>
              <w:t>- Prise de décisions stratégiques et ajustement du plan d'action</w:t>
            </w:r>
          </w:p>
        </w:tc>
        <w:tc>
          <w:tcPr>
            <w:tcW w:type="dxa" w:w="1296"/>
            <w:tcMar>
              <w:top w:w="60" w:type="dxa"/>
              <w:bottom w:w="60" w:type="dxa"/>
              <w:left w:w="40" w:type="dxa"/>
              <w:right w:w="40" w:type="dxa"/>
            </w:tcMar>
          </w:tcPr>
          <w:p>
            <w:pPr>
              <w:jc w:val="center"/>
            </w:pPr>
            <w:r>
              <w:rPr>
                <w:sz w:val="15"/>
              </w:rPr>
              <w:t>Président CLIN / Point focal / DG</w:t>
            </w:r>
          </w:p>
        </w:tc>
        <w:tc>
          <w:tcPr>
            <w:tcW w:type="dxa" w:w="1296"/>
            <w:tcMar>
              <w:top w:w="60" w:type="dxa"/>
              <w:bottom w:w="60" w:type="dxa"/>
              <w:left w:w="40" w:type="dxa"/>
              <w:right w:w="40" w:type="dxa"/>
            </w:tcMar>
          </w:tcPr>
          <w:p>
            <w:pPr>
              <w:jc w:val="center"/>
            </w:pPr>
            <w:r>
              <w:rPr>
                <w:sz w:val="15"/>
              </w:rPr>
              <w:t>Trimestriel (Déc. 2026, Mars, Juin, Sept. 2027)</w:t>
            </w:r>
          </w:p>
        </w:tc>
        <w:tc>
          <w:tcPr>
            <w:tcW w:type="dxa" w:w="2016"/>
            <w:tcMar>
              <w:top w:w="60" w:type="dxa"/>
              <w:bottom w:w="60" w:type="dxa"/>
              <w:left w:w="60" w:type="dxa"/>
              <w:right w:w="60" w:type="dxa"/>
            </w:tcMar>
          </w:tcPr>
          <w:p>
            <w:r>
              <w:rPr>
                <w:sz w:val="15"/>
              </w:rPr>
              <w:t>CLIN réuni de façon discontinue (1 à 2 fois par an)</w:t>
            </w:r>
          </w:p>
        </w:tc>
        <w:tc>
          <w:tcPr>
            <w:tcW w:type="dxa" w:w="2160"/>
            <w:tcMar>
              <w:top w:w="60" w:type="dxa"/>
              <w:bottom w:w="60" w:type="dxa"/>
              <w:left w:w="60" w:type="dxa"/>
              <w:right w:w="60" w:type="dxa"/>
            </w:tcMar>
          </w:tcPr>
          <w:p>
            <w:r>
              <w:rPr>
                <w:sz w:val="15"/>
              </w:rPr>
              <w:t>4 sessions statutaires du CLIN tenues avec procès-verbaux et relevés de décisions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4.1.3. Assurer le suivi rapproché de la mise en œuvre des décisions du CLIN et des recommandations d'audit</w:t>
            </w:r>
          </w:p>
        </w:tc>
        <w:tc>
          <w:tcPr>
            <w:tcW w:type="dxa" w:w="1296"/>
            <w:tcMar>
              <w:top w:w="60" w:type="dxa"/>
              <w:bottom w:w="60" w:type="dxa"/>
              <w:left w:w="40" w:type="dxa"/>
              <w:right w:w="40" w:type="dxa"/>
            </w:tcMar>
          </w:tcPr>
          <w:p>
            <w:pPr>
              <w:jc w:val="center"/>
            </w:pPr>
            <w:r>
              <w:rPr>
                <w:sz w:val="15"/>
              </w:rPr>
              <w:t>EOPCI / DAF / DG</w:t>
            </w:r>
          </w:p>
        </w:tc>
        <w:tc>
          <w:tcPr>
            <w:tcW w:type="dxa" w:w="1296"/>
            <w:tcMar>
              <w:top w:w="60" w:type="dxa"/>
              <w:bottom w:w="60" w:type="dxa"/>
              <w:left w:w="40" w:type="dxa"/>
              <w:right w:w="40" w:type="dxa"/>
            </w:tcMar>
          </w:tcPr>
          <w:p>
            <w:pPr>
              <w:jc w:val="center"/>
            </w:pPr>
            <w:r>
              <w:rPr>
                <w:sz w:val="15"/>
              </w:rPr>
              <w:t>Continu</w:t>
            </w:r>
          </w:p>
        </w:tc>
        <w:tc>
          <w:tcPr>
            <w:tcW w:type="dxa" w:w="2016"/>
            <w:tcMar>
              <w:top w:w="60" w:type="dxa"/>
              <w:bottom w:w="60" w:type="dxa"/>
              <w:left w:w="60" w:type="dxa"/>
              <w:right w:w="60" w:type="dxa"/>
            </w:tcMar>
          </w:tcPr>
          <w:p>
            <w:r>
              <w:rPr>
                <w:sz w:val="15"/>
              </w:rPr>
              <w:t>Faible traçabilité et application des résolutions antérieures</w:t>
            </w:r>
          </w:p>
        </w:tc>
        <w:tc>
          <w:tcPr>
            <w:tcW w:type="dxa" w:w="2160"/>
            <w:tcMar>
              <w:top w:w="60" w:type="dxa"/>
              <w:bottom w:w="60" w:type="dxa"/>
              <w:left w:w="60" w:type="dxa"/>
              <w:right w:w="60" w:type="dxa"/>
            </w:tcMar>
          </w:tcPr>
          <w:p>
            <w:r>
              <w:rPr>
                <w:sz w:val="15"/>
              </w:rPr>
              <w:t>Tableau de bord de mise en œuvre des recommandations actualisé chaque trimestre</w:t>
            </w:r>
          </w:p>
        </w:tc>
        <w:tc>
          <w:tcPr>
            <w:tcW w:type="dxa" w:w="1152"/>
            <w:tcMar>
              <w:top w:w="60" w:type="dxa"/>
              <w:bottom w:w="60" w:type="dxa"/>
              <w:left w:w="40" w:type="dxa"/>
              <w:right w:w="40" w:type="dxa"/>
            </w:tcMar>
          </w:tcPr>
          <w:p>
            <w:pPr>
              <w:jc w:val="center"/>
            </w:pPr>
            <w:r>
              <w:rPr>
                <w:sz w:val="15"/>
              </w:rPr>
              <w:t>Néant</w:t>
            </w:r>
          </w:p>
        </w:tc>
      </w:tr>
      <w:tr>
        <w:trPr>
          <w:cantSplit/>
        </w:trPr>
        <w:tc>
          <w:tcPr>
            <w:tcW w:type="dxa" w:w="1872"/>
            <w:vMerge w:val="restart"/>
            <w:shd w:fill="D9E1F2"/>
            <w:tcMar>
              <w:top w:w="60" w:type="dxa"/>
              <w:bottom w:w="60" w:type="dxa"/>
              <w:left w:w="60" w:type="dxa"/>
              <w:right w:w="60" w:type="dxa"/>
            </w:tcMar>
          </w:tcPr>
          <w:p>
            <w:r>
              <w:rPr>
                <w:b/>
                <w:color w:val="1B365D"/>
                <w:sz w:val="17"/>
              </w:rPr>
              <w:t>V. SURVEILLANCE DES IAS</w:t>
            </w:r>
          </w:p>
        </w:tc>
        <w:tc>
          <w:tcPr>
            <w:tcW w:type="dxa" w:w="2304"/>
            <w:vMerge w:val="restart"/>
            <w:shd w:fill="F2F2F2"/>
            <w:tcMar>
              <w:top w:w="60" w:type="dxa"/>
              <w:bottom w:w="60" w:type="dxa"/>
              <w:left w:w="60" w:type="dxa"/>
              <w:right w:w="60" w:type="dxa"/>
            </w:tcMar>
          </w:tcPr>
          <w:p>
            <w:r>
              <w:rPr>
                <w:b/>
                <w:sz w:val="15"/>
              </w:rPr>
              <w:t>5.1. Dispositif de surveillance épidémiologique des infections associées aux soins</w:t>
            </w:r>
          </w:p>
        </w:tc>
        <w:tc>
          <w:tcPr>
            <w:tcW w:type="dxa" w:w="3888"/>
            <w:tcMar>
              <w:top w:w="60" w:type="dxa"/>
              <w:bottom w:w="60" w:type="dxa"/>
              <w:left w:w="60" w:type="dxa"/>
              <w:right w:w="60" w:type="dxa"/>
            </w:tcMar>
          </w:tcPr>
          <w:p>
            <w:r>
              <w:rPr>
                <w:sz w:val="16"/>
              </w:rPr>
              <w:t>5.1.1. Élaborer, valider et déployer le plan institutionnel de surveillance des Infections Associées aux Soins (IAS) :</w:t>
              <w:br/>
              <w:t>- Définir les protocoles de surveillance ciblée (Infections du Site Opératoire, bactériémies sur cathéter, infections urinaires sur sonde, infections néonatales)</w:t>
              <w:br/>
              <w:t>- Standardiser les fiches de recueil et de notification</w:t>
            </w:r>
          </w:p>
        </w:tc>
        <w:tc>
          <w:tcPr>
            <w:tcW w:type="dxa" w:w="1296"/>
            <w:tcMar>
              <w:top w:w="60" w:type="dxa"/>
              <w:bottom w:w="60" w:type="dxa"/>
              <w:left w:w="40" w:type="dxa"/>
              <w:right w:w="40" w:type="dxa"/>
            </w:tcMar>
          </w:tcPr>
          <w:p>
            <w:pPr>
              <w:jc w:val="center"/>
            </w:pPr>
            <w:r>
              <w:rPr>
                <w:sz w:val="15"/>
              </w:rPr>
              <w:t>EOPCI / Réanimation / Maternité / Pédiatrie</w:t>
            </w:r>
          </w:p>
        </w:tc>
        <w:tc>
          <w:tcPr>
            <w:tcW w:type="dxa" w:w="1296"/>
            <w:tcMar>
              <w:top w:w="60" w:type="dxa"/>
              <w:bottom w:w="60" w:type="dxa"/>
              <w:left w:w="40" w:type="dxa"/>
              <w:right w:w="40" w:type="dxa"/>
            </w:tcMar>
          </w:tcPr>
          <w:p>
            <w:pPr>
              <w:jc w:val="center"/>
            </w:pPr>
            <w:r>
              <w:rPr>
                <w:sz w:val="15"/>
              </w:rPr>
              <w:t>Novembre - Décembre 2026</w:t>
            </w:r>
          </w:p>
        </w:tc>
        <w:tc>
          <w:tcPr>
            <w:tcW w:type="dxa" w:w="2016"/>
            <w:tcMar>
              <w:top w:w="60" w:type="dxa"/>
              <w:bottom w:w="60" w:type="dxa"/>
              <w:left w:w="60" w:type="dxa"/>
              <w:right w:w="60" w:type="dxa"/>
            </w:tcMar>
          </w:tcPr>
          <w:p>
            <w:r>
              <w:rPr>
                <w:sz w:val="15"/>
              </w:rPr>
              <w:t>Protocole institutionnel de surveillance inexistant</w:t>
            </w:r>
          </w:p>
        </w:tc>
        <w:tc>
          <w:tcPr>
            <w:tcW w:type="dxa" w:w="2160"/>
            <w:tcMar>
              <w:top w:w="60" w:type="dxa"/>
              <w:bottom w:w="60" w:type="dxa"/>
              <w:left w:w="60" w:type="dxa"/>
              <w:right w:w="60" w:type="dxa"/>
            </w:tcMar>
          </w:tcPr>
          <w:p>
            <w:r>
              <w:rPr>
                <w:sz w:val="15"/>
              </w:rPr>
              <w:t>Plan et protocoles de surveillance des IAS validés et déployés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5.1.2. Organiser des enquêtes épidémiologiques sur les IAS (deux enquêtes de prévalence un jour donné dans l'ensemble des départements d'hospitalisation du CHUMEL)</w:t>
            </w:r>
          </w:p>
        </w:tc>
        <w:tc>
          <w:tcPr>
            <w:tcW w:type="dxa" w:w="1296"/>
            <w:tcMar>
              <w:top w:w="60" w:type="dxa"/>
              <w:bottom w:w="60" w:type="dxa"/>
              <w:left w:w="40" w:type="dxa"/>
              <w:right w:w="40" w:type="dxa"/>
            </w:tcMar>
          </w:tcPr>
          <w:p>
            <w:pPr>
              <w:jc w:val="center"/>
            </w:pPr>
            <w:r>
              <w:rPr>
                <w:sz w:val="15"/>
              </w:rPr>
              <w:t>EOPCI / Équipes de soins</w:t>
            </w:r>
          </w:p>
        </w:tc>
        <w:tc>
          <w:tcPr>
            <w:tcW w:type="dxa" w:w="1296"/>
            <w:tcMar>
              <w:top w:w="60" w:type="dxa"/>
              <w:bottom w:w="60" w:type="dxa"/>
              <w:left w:w="40" w:type="dxa"/>
              <w:right w:w="40" w:type="dxa"/>
            </w:tcMar>
          </w:tcPr>
          <w:p>
            <w:pPr>
              <w:jc w:val="center"/>
            </w:pPr>
            <w:r>
              <w:rPr>
                <w:sz w:val="15"/>
              </w:rPr>
              <w:t>Janvier 2027 et Juillet 2027</w:t>
            </w:r>
          </w:p>
        </w:tc>
        <w:tc>
          <w:tcPr>
            <w:tcW w:type="dxa" w:w="2016"/>
            <w:tcMar>
              <w:top w:w="60" w:type="dxa"/>
              <w:bottom w:w="60" w:type="dxa"/>
              <w:left w:w="60" w:type="dxa"/>
              <w:right w:w="60" w:type="dxa"/>
            </w:tcMar>
          </w:tcPr>
          <w:p>
            <w:r>
              <w:rPr>
                <w:sz w:val="15"/>
              </w:rPr>
              <w:t>Taux de prévalence global des IAS au CHUMEL méconnu</w:t>
            </w:r>
          </w:p>
        </w:tc>
        <w:tc>
          <w:tcPr>
            <w:tcW w:type="dxa" w:w="2160"/>
            <w:tcMar>
              <w:top w:w="60" w:type="dxa"/>
              <w:bottom w:w="60" w:type="dxa"/>
              <w:left w:w="60" w:type="dxa"/>
              <w:right w:w="60" w:type="dxa"/>
            </w:tcMar>
          </w:tcPr>
          <w:p>
            <w:r>
              <w:rPr>
                <w:sz w:val="15"/>
              </w:rPr>
              <w:t>2 enquêtes de prévalence un jour donné réalisées et rapports analytiques diffusés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5.2. Microbiologie hospitalière et recherche des germes nosocomiaux</w:t>
            </w:r>
          </w:p>
        </w:tc>
        <w:tc>
          <w:tcPr>
            <w:tcW w:type="dxa" w:w="3888"/>
            <w:tcMar>
              <w:top w:w="60" w:type="dxa"/>
              <w:bottom w:w="60" w:type="dxa"/>
              <w:left w:w="60" w:type="dxa"/>
              <w:right w:w="60" w:type="dxa"/>
            </w:tcMar>
          </w:tcPr>
          <w:p>
            <w:r>
              <w:rPr>
                <w:sz w:val="16"/>
              </w:rPr>
              <w:t>5.2.1. Intégrer les aspects d’analyse microbiologique et de contrôle environnemental dans les activités régulières du laboratoire du CHUMEL :</w:t>
              <w:br/>
              <w:t>- Standardiser les techniques de prélèvement d'air, d'eau et de surfaces</w:t>
              <w:br/>
              <w:t>- Ouvrir un registre dédié aux contrôles bactériologiques d'hygiène</w:t>
            </w:r>
          </w:p>
        </w:tc>
        <w:tc>
          <w:tcPr>
            <w:tcW w:type="dxa" w:w="1296"/>
            <w:tcMar>
              <w:top w:w="60" w:type="dxa"/>
              <w:bottom w:w="60" w:type="dxa"/>
              <w:left w:w="40" w:type="dxa"/>
              <w:right w:w="40" w:type="dxa"/>
            </w:tcMar>
          </w:tcPr>
          <w:p>
            <w:pPr>
              <w:jc w:val="center"/>
            </w:pPr>
            <w:r>
              <w:rPr>
                <w:sz w:val="15"/>
              </w:rPr>
              <w:t>Chef Service Laboratoire / EOPCI</w:t>
            </w:r>
          </w:p>
        </w:tc>
        <w:tc>
          <w:tcPr>
            <w:tcW w:type="dxa" w:w="1296"/>
            <w:tcMar>
              <w:top w:w="60" w:type="dxa"/>
              <w:bottom w:w="60" w:type="dxa"/>
              <w:left w:w="40" w:type="dxa"/>
              <w:right w:w="40" w:type="dxa"/>
            </w:tcMar>
          </w:tcPr>
          <w:p>
            <w:pPr>
              <w:jc w:val="center"/>
            </w:pPr>
            <w:r>
              <w:rPr>
                <w:sz w:val="15"/>
              </w:rPr>
              <w:t>Décembre 2026</w:t>
            </w:r>
          </w:p>
        </w:tc>
        <w:tc>
          <w:tcPr>
            <w:tcW w:type="dxa" w:w="2016"/>
            <w:tcMar>
              <w:top w:w="60" w:type="dxa"/>
              <w:bottom w:w="60" w:type="dxa"/>
              <w:left w:w="60" w:type="dxa"/>
              <w:right w:w="60" w:type="dxa"/>
            </w:tcMar>
          </w:tcPr>
          <w:p>
            <w:r>
              <w:rPr>
                <w:sz w:val="15"/>
              </w:rPr>
              <w:t>Contrôles bactériologiques d'hygiène non systématisés</w:t>
            </w:r>
          </w:p>
        </w:tc>
        <w:tc>
          <w:tcPr>
            <w:tcW w:type="dxa" w:w="2160"/>
            <w:tcMar>
              <w:top w:w="60" w:type="dxa"/>
              <w:bottom w:w="60" w:type="dxa"/>
              <w:left w:w="60" w:type="dxa"/>
              <w:right w:w="60" w:type="dxa"/>
            </w:tcMar>
          </w:tcPr>
          <w:p>
            <w:r>
              <w:rPr>
                <w:sz w:val="15"/>
              </w:rPr>
              <w:t>Procédure d'analyse microbiologique intégrée au catalogue des prestations du laboratoire</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5.2.2. Exécuter le programme annuel de recherche des germes nosocomiaux et profils de résistance aux antibiotiques (33 processus / séries de prélèvements environnementaux et sentinelles) :</w:t>
              <w:br/>
              <w:t>- Prélèvements de surfaces dans les blocs opératoires, réanimation, néonatologie et biberonnerie</w:t>
              <w:br/>
              <w:t>- Contrôle bactériologique de l'air et de la stérilisation</w:t>
              <w:br/>
              <w:t>- Isolement des bactéries multirésistantes (BMR) et établissement des antibiogrammes</w:t>
            </w:r>
          </w:p>
        </w:tc>
        <w:tc>
          <w:tcPr>
            <w:tcW w:type="dxa" w:w="1296"/>
            <w:tcMar>
              <w:top w:w="60" w:type="dxa"/>
              <w:bottom w:w="60" w:type="dxa"/>
              <w:left w:w="40" w:type="dxa"/>
              <w:right w:w="40" w:type="dxa"/>
            </w:tcMar>
          </w:tcPr>
          <w:p>
            <w:pPr>
              <w:jc w:val="center"/>
            </w:pPr>
            <w:r>
              <w:rPr>
                <w:sz w:val="15"/>
              </w:rPr>
              <w:t>Laboratoire de bactériologie / EOPCI</w:t>
            </w:r>
          </w:p>
        </w:tc>
        <w:tc>
          <w:tcPr>
            <w:tcW w:type="dxa" w:w="1296"/>
            <w:tcMar>
              <w:top w:w="60" w:type="dxa"/>
              <w:bottom w:w="60" w:type="dxa"/>
              <w:left w:w="40" w:type="dxa"/>
              <w:right w:w="40" w:type="dxa"/>
            </w:tcMar>
          </w:tcPr>
          <w:p>
            <w:pPr>
              <w:jc w:val="center"/>
            </w:pPr>
            <w:r>
              <w:rPr>
                <w:sz w:val="15"/>
              </w:rPr>
              <w:t>Continu (Octobre 2026 - Septembre 2027)</w:t>
            </w:r>
          </w:p>
        </w:tc>
        <w:tc>
          <w:tcPr>
            <w:tcW w:type="dxa" w:w="2016"/>
            <w:tcMar>
              <w:top w:w="60" w:type="dxa"/>
              <w:bottom w:w="60" w:type="dxa"/>
              <w:left w:w="60" w:type="dxa"/>
              <w:right w:w="60" w:type="dxa"/>
            </w:tcMar>
          </w:tcPr>
          <w:p>
            <w:r>
              <w:rPr>
                <w:sz w:val="15"/>
              </w:rPr>
              <w:t>Données sporadiques d'écologie bactérienne hospitalière</w:t>
            </w:r>
          </w:p>
        </w:tc>
        <w:tc>
          <w:tcPr>
            <w:tcW w:type="dxa" w:w="2160"/>
            <w:tcMar>
              <w:top w:w="60" w:type="dxa"/>
              <w:bottom w:w="60" w:type="dxa"/>
              <w:left w:w="60" w:type="dxa"/>
              <w:right w:w="60" w:type="dxa"/>
            </w:tcMar>
          </w:tcPr>
          <w:p>
            <w:r>
              <w:rPr>
                <w:sz w:val="15"/>
              </w:rPr>
              <w:t>33 séries de contrôles microbiologiques exécutées avec cartographie complète de l'écologie microbienne du CHUMEL</w:t>
            </w:r>
          </w:p>
        </w:tc>
        <w:tc>
          <w:tcPr>
            <w:tcW w:type="dxa" w:w="1152"/>
            <w:tcMar>
              <w:top w:w="60" w:type="dxa"/>
              <w:bottom w:w="60" w:type="dxa"/>
              <w:left w:w="40" w:type="dxa"/>
              <w:right w:w="40" w:type="dxa"/>
            </w:tcMar>
          </w:tcPr>
          <w:p>
            <w:pPr>
              <w:jc w:val="center"/>
            </w:pPr>
            <w:r>
              <w:rPr>
                <w:b/>
                <w:sz w:val="15"/>
              </w:rPr>
              <w:t>FP</w:t>
            </w:r>
          </w:p>
        </w:tc>
      </w:tr>
      <w:tr>
        <w:trPr>
          <w:cantSplit/>
        </w:trPr>
        <w:tc>
          <w:tcPr>
            <w:tcW w:type="dxa" w:w="1872"/>
            <w:vMerge w:val="restart"/>
            <w:shd w:fill="D9E1F2"/>
            <w:tcMar>
              <w:top w:w="60" w:type="dxa"/>
              <w:bottom w:w="60" w:type="dxa"/>
              <w:left w:w="60" w:type="dxa"/>
              <w:right w:w="60" w:type="dxa"/>
            </w:tcMar>
          </w:tcPr>
          <w:p>
            <w:r>
              <w:rPr>
                <w:b/>
                <w:color w:val="1B365D"/>
                <w:sz w:val="17"/>
              </w:rPr>
              <w:t>VI. STRATÉGIES MULTIMODALES</w:t>
            </w:r>
          </w:p>
        </w:tc>
        <w:tc>
          <w:tcPr>
            <w:tcW w:type="dxa" w:w="2304"/>
            <w:shd w:fill="F2F2F2"/>
            <w:tcMar>
              <w:top w:w="60" w:type="dxa"/>
              <w:bottom w:w="60" w:type="dxa"/>
              <w:left w:w="60" w:type="dxa"/>
              <w:right w:w="60" w:type="dxa"/>
            </w:tcMar>
          </w:tcPr>
          <w:p>
            <w:r>
              <w:rPr>
                <w:b/>
                <w:sz w:val="15"/>
              </w:rPr>
              <w:t>6.1. Institutionnalisation de la démarche multimodale de l'OMS pour la PCI</w:t>
            </w:r>
          </w:p>
        </w:tc>
        <w:tc>
          <w:tcPr>
            <w:tcW w:type="dxa" w:w="3888"/>
            <w:tcMar>
              <w:top w:w="60" w:type="dxa"/>
              <w:bottom w:w="60" w:type="dxa"/>
              <w:left w:w="60" w:type="dxa"/>
              <w:right w:w="60" w:type="dxa"/>
            </w:tcMar>
          </w:tcPr>
          <w:p>
            <w:r>
              <w:rPr>
                <w:sz w:val="16"/>
              </w:rPr>
              <w:t>6.1.1. Intégrer systématiquement les cinq composantes de la stratégie multimodale de l’OMS dans chaque plan d’action opérationnel du CHUMEL :</w:t>
              <w:br/>
              <w:t>1- Changement de système (disponibilité continue des intrants au point de soins)</w:t>
              <w:br/>
              <w:t>2- Éducation et formation continue des équipes</w:t>
              <w:br/>
              <w:t>3- Surveillance, audits et rétro-information aux soignants</w:t>
              <w:br/>
              <w:t>4- Rappels visuels sur le lieu de travail et communication ergonomique</w:t>
              <w:br/>
              <w:t>5- Climat de sécurité organisationnel et culture de sécurité positive</w:t>
            </w:r>
          </w:p>
        </w:tc>
        <w:tc>
          <w:tcPr>
            <w:tcW w:type="dxa" w:w="1296"/>
            <w:tcMar>
              <w:top w:w="60" w:type="dxa"/>
              <w:bottom w:w="60" w:type="dxa"/>
              <w:left w:w="40" w:type="dxa"/>
              <w:right w:w="40" w:type="dxa"/>
            </w:tcMar>
          </w:tcPr>
          <w:p>
            <w:pPr>
              <w:jc w:val="center"/>
            </w:pPr>
            <w:r>
              <w:rPr>
                <w:sz w:val="15"/>
              </w:rPr>
              <w:t>EOPCI / CLIN / Chefs de services</w:t>
            </w:r>
          </w:p>
        </w:tc>
        <w:tc>
          <w:tcPr>
            <w:tcW w:type="dxa" w:w="1296"/>
            <w:tcMar>
              <w:top w:w="60" w:type="dxa"/>
              <w:bottom w:w="60" w:type="dxa"/>
              <w:left w:w="40" w:type="dxa"/>
              <w:right w:w="40" w:type="dxa"/>
            </w:tcMar>
          </w:tcPr>
          <w:p>
            <w:pPr>
              <w:jc w:val="center"/>
            </w:pPr>
            <w:r>
              <w:rPr>
                <w:sz w:val="15"/>
              </w:rPr>
              <w:t>Continu (Janvier - Septembre 2027)</w:t>
            </w:r>
          </w:p>
        </w:tc>
        <w:tc>
          <w:tcPr>
            <w:tcW w:type="dxa" w:w="2016"/>
            <w:tcMar>
              <w:top w:w="60" w:type="dxa"/>
              <w:bottom w:w="60" w:type="dxa"/>
              <w:left w:w="60" w:type="dxa"/>
              <w:right w:w="60" w:type="dxa"/>
            </w:tcMar>
          </w:tcPr>
          <w:p>
            <w:r>
              <w:rPr>
                <w:sz w:val="15"/>
              </w:rPr>
              <w:t>Actions isolées non coordonnées selon le modèle OMS</w:t>
            </w:r>
          </w:p>
        </w:tc>
        <w:tc>
          <w:tcPr>
            <w:tcW w:type="dxa" w:w="2160"/>
            <w:tcMar>
              <w:top w:w="60" w:type="dxa"/>
              <w:bottom w:w="60" w:type="dxa"/>
              <w:left w:w="60" w:type="dxa"/>
              <w:right w:w="60" w:type="dxa"/>
            </w:tcMar>
          </w:tcPr>
          <w:p>
            <w:r>
              <w:rPr>
                <w:sz w:val="15"/>
              </w:rPr>
              <w:t>100% des interventions de PCI conçues et déployées selon les 5 composantes multimodales de l'OMS</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6.2. Communication, outils de sensibilisation et affiches pédagogiques</w:t>
            </w:r>
          </w:p>
        </w:tc>
        <w:tc>
          <w:tcPr>
            <w:tcW w:type="dxa" w:w="3888"/>
            <w:tcMar>
              <w:top w:w="60" w:type="dxa"/>
              <w:bottom w:w="60" w:type="dxa"/>
              <w:left w:w="60" w:type="dxa"/>
              <w:right w:w="60" w:type="dxa"/>
            </w:tcMar>
          </w:tcPr>
          <w:p>
            <w:r>
              <w:rPr>
                <w:sz w:val="16"/>
              </w:rPr>
              <w:t>6.2.1. Élaborer, concevoir et faire reproduire les supports visuels de communication et affiches de sensibilisation :</w:t>
              <w:br/>
              <w:t>- Affiches plastifiées « Les 5 indications de l'OMS pour l'hygiène des mains »</w:t>
              <w:br/>
              <w:t>- Affiches techniques de friction hydro-alcoolique et de lavage des mains</w:t>
              <w:br/>
              <w:t>- Affiches du code couleur pour le tri des déchets biomédicaux</w:t>
              <w:br/>
              <w:t>- Affiches d'habillage/déshabillage des Équipements de Protection Individuelle (EPI)</w:t>
            </w:r>
          </w:p>
        </w:tc>
        <w:tc>
          <w:tcPr>
            <w:tcW w:type="dxa" w:w="1296"/>
            <w:tcMar>
              <w:top w:w="60" w:type="dxa"/>
              <w:bottom w:w="60" w:type="dxa"/>
              <w:left w:w="40" w:type="dxa"/>
              <w:right w:w="40" w:type="dxa"/>
            </w:tcMar>
          </w:tcPr>
          <w:p>
            <w:pPr>
              <w:jc w:val="center"/>
            </w:pPr>
            <w:r>
              <w:rPr>
                <w:sz w:val="15"/>
              </w:rPr>
              <w:t>EOPCI / Service communication</w:t>
            </w:r>
          </w:p>
        </w:tc>
        <w:tc>
          <w:tcPr>
            <w:tcW w:type="dxa" w:w="1296"/>
            <w:tcMar>
              <w:top w:w="60" w:type="dxa"/>
              <w:bottom w:w="60" w:type="dxa"/>
              <w:left w:w="40" w:type="dxa"/>
              <w:right w:w="40" w:type="dxa"/>
            </w:tcMar>
          </w:tcPr>
          <w:p>
            <w:pPr>
              <w:jc w:val="center"/>
            </w:pPr>
            <w:r>
              <w:rPr>
                <w:sz w:val="15"/>
              </w:rPr>
              <w:t>Décembre 2026 - Février 2027</w:t>
            </w:r>
          </w:p>
        </w:tc>
        <w:tc>
          <w:tcPr>
            <w:tcW w:type="dxa" w:w="2016"/>
            <w:tcMar>
              <w:top w:w="60" w:type="dxa"/>
              <w:bottom w:w="60" w:type="dxa"/>
              <w:left w:w="60" w:type="dxa"/>
              <w:right w:w="60" w:type="dxa"/>
            </w:tcMar>
          </w:tcPr>
          <w:p>
            <w:r>
              <w:rPr>
                <w:sz w:val="15"/>
              </w:rPr>
              <w:t>Supports visuels inexistants, dégradés ou obsolètes</w:t>
            </w:r>
          </w:p>
        </w:tc>
        <w:tc>
          <w:tcPr>
            <w:tcW w:type="dxa" w:w="2160"/>
            <w:tcMar>
              <w:top w:w="60" w:type="dxa"/>
              <w:bottom w:w="60" w:type="dxa"/>
              <w:left w:w="60" w:type="dxa"/>
              <w:right w:w="60" w:type="dxa"/>
            </w:tcMar>
          </w:tcPr>
          <w:p>
            <w:r>
              <w:rPr>
                <w:sz w:val="15"/>
              </w:rPr>
              <w:t>300 affiches et posters plastifiés posés au-dessus de chaque lavabo, paillasse et lit d'hospitalisation</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6.2.2. Réaliser des campagnes institutionnelles de communication et sensibilisation du personnel et des usagers sur l'hygiène des mains et la propreté hospitalière</w:t>
            </w:r>
          </w:p>
        </w:tc>
        <w:tc>
          <w:tcPr>
            <w:tcW w:type="dxa" w:w="1296"/>
            <w:tcMar>
              <w:top w:w="60" w:type="dxa"/>
              <w:bottom w:w="60" w:type="dxa"/>
              <w:left w:w="40" w:type="dxa"/>
              <w:right w:w="40" w:type="dxa"/>
            </w:tcMar>
          </w:tcPr>
          <w:p>
            <w:pPr>
              <w:jc w:val="center"/>
            </w:pPr>
            <w:r>
              <w:rPr>
                <w:sz w:val="15"/>
              </w:rPr>
              <w:t>EOPCI / Points focaux</w:t>
            </w:r>
          </w:p>
        </w:tc>
        <w:tc>
          <w:tcPr>
            <w:tcW w:type="dxa" w:w="1296"/>
            <w:tcMar>
              <w:top w:w="60" w:type="dxa"/>
              <w:bottom w:w="60" w:type="dxa"/>
              <w:left w:w="40" w:type="dxa"/>
              <w:right w:w="40" w:type="dxa"/>
            </w:tcMar>
          </w:tcPr>
          <w:p>
            <w:pPr>
              <w:jc w:val="center"/>
            </w:pPr>
            <w:r>
              <w:rPr>
                <w:sz w:val="15"/>
              </w:rPr>
              <w:t>Trimestriel (T1 à T4)</w:t>
            </w:r>
          </w:p>
        </w:tc>
        <w:tc>
          <w:tcPr>
            <w:tcW w:type="dxa" w:w="2016"/>
            <w:tcMar>
              <w:top w:w="60" w:type="dxa"/>
              <w:bottom w:w="60" w:type="dxa"/>
              <w:left w:w="60" w:type="dxa"/>
              <w:right w:w="60" w:type="dxa"/>
            </w:tcMar>
          </w:tcPr>
          <w:p>
            <w:r>
              <w:rPr>
                <w:sz w:val="15"/>
              </w:rPr>
              <w:t>Engagement variable et sensibilisation discontinue</w:t>
            </w:r>
          </w:p>
        </w:tc>
        <w:tc>
          <w:tcPr>
            <w:tcW w:type="dxa" w:w="2160"/>
            <w:tcMar>
              <w:top w:w="60" w:type="dxa"/>
              <w:bottom w:w="60" w:type="dxa"/>
              <w:left w:w="60" w:type="dxa"/>
              <w:right w:w="60" w:type="dxa"/>
            </w:tcMar>
          </w:tcPr>
          <w:p>
            <w:r>
              <w:rPr>
                <w:sz w:val="15"/>
              </w:rPr>
              <w:t>4 campagnes de proximité menées avec renforcement mesurable du climat de sécurité</w:t>
            </w:r>
          </w:p>
        </w:tc>
        <w:tc>
          <w:tcPr>
            <w:tcW w:type="dxa" w:w="1152"/>
            <w:tcMar>
              <w:top w:w="60" w:type="dxa"/>
              <w:bottom w:w="60" w:type="dxa"/>
              <w:left w:w="40" w:type="dxa"/>
              <w:right w:w="40" w:type="dxa"/>
            </w:tcMar>
          </w:tcPr>
          <w:p>
            <w:pPr>
              <w:jc w:val="center"/>
            </w:pPr>
            <w:r>
              <w:rPr>
                <w:b/>
                <w:sz w:val="15"/>
              </w:rPr>
              <w:t>FP</w:t>
            </w:r>
          </w:p>
        </w:tc>
      </w:tr>
      <w:tr>
        <w:trPr>
          <w:cantSplit/>
        </w:trPr>
        <w:tc>
          <w:tcPr>
            <w:tcW w:type="dxa" w:w="1872"/>
            <w:vMerge w:val="restart"/>
            <w:shd w:fill="D9E1F2"/>
            <w:tcMar>
              <w:top w:w="60" w:type="dxa"/>
              <w:bottom w:w="60" w:type="dxa"/>
              <w:left w:w="60" w:type="dxa"/>
              <w:right w:w="60" w:type="dxa"/>
            </w:tcMar>
          </w:tcPr>
          <w:p>
            <w:r>
              <w:rPr>
                <w:b/>
                <w:color w:val="1B365D"/>
                <w:sz w:val="17"/>
              </w:rPr>
              <w:t>VII. SUIVI, AUDITS ET RESTITUTION DES RÉSULTATS</w:t>
            </w:r>
          </w:p>
        </w:tc>
        <w:tc>
          <w:tcPr>
            <w:tcW w:type="dxa" w:w="2304"/>
            <w:vMerge w:val="restart"/>
            <w:shd w:fill="F2F2F2"/>
            <w:tcMar>
              <w:top w:w="60" w:type="dxa"/>
              <w:bottom w:w="60" w:type="dxa"/>
              <w:left w:w="60" w:type="dxa"/>
              <w:right w:w="60" w:type="dxa"/>
            </w:tcMar>
          </w:tcPr>
          <w:p>
            <w:r>
              <w:rPr>
                <w:b/>
                <w:sz w:val="15"/>
              </w:rPr>
              <w:t>7.1. Dispositif de mesure, indicateurs et équipements informatiques de suivi-évaluation</w:t>
            </w:r>
          </w:p>
        </w:tc>
        <w:tc>
          <w:tcPr>
            <w:tcW w:type="dxa" w:w="3888"/>
            <w:tcMar>
              <w:top w:w="60" w:type="dxa"/>
              <w:bottom w:w="60" w:type="dxa"/>
              <w:left w:w="60" w:type="dxa"/>
              <w:right w:w="60" w:type="dxa"/>
            </w:tcMar>
          </w:tcPr>
          <w:p>
            <w:r>
              <w:rPr>
                <w:sz w:val="16"/>
              </w:rPr>
              <w:t>7.1.1. Identifier et formaliser les indicateurs clés de suivi de la PCI (taux d'observance de l'hygiène des mains, conformité de pose/entretien des cathéters, conformité de pose des sondes urinaires, respect du tri des DBM, conformité du bionettoyage, taux d'AES)</w:t>
            </w:r>
          </w:p>
        </w:tc>
        <w:tc>
          <w:tcPr>
            <w:tcW w:type="dxa" w:w="1296"/>
            <w:tcMar>
              <w:top w:w="60" w:type="dxa"/>
              <w:bottom w:w="60" w:type="dxa"/>
              <w:left w:w="40" w:type="dxa"/>
              <w:right w:w="40" w:type="dxa"/>
            </w:tcMar>
          </w:tcPr>
          <w:p>
            <w:pPr>
              <w:jc w:val="center"/>
            </w:pPr>
            <w:r>
              <w:rPr>
                <w:sz w:val="15"/>
              </w:rPr>
              <w:t>EOPCI</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Absence de liste consensuelle d'indicateurs standardisés</w:t>
            </w:r>
          </w:p>
        </w:tc>
        <w:tc>
          <w:tcPr>
            <w:tcW w:type="dxa" w:w="2160"/>
            <w:tcMar>
              <w:top w:w="60" w:type="dxa"/>
              <w:bottom w:w="60" w:type="dxa"/>
              <w:left w:w="60" w:type="dxa"/>
              <w:right w:w="60" w:type="dxa"/>
            </w:tcMar>
          </w:tcPr>
          <w:p>
            <w:r>
              <w:rPr>
                <w:sz w:val="15"/>
              </w:rPr>
              <w:t>Répertoire de 6 indicateurs prioritaires formalisé avec fiches de calcul documentées</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7.1.2. Élaborer, tester et dupliquer les outils et grilles standardisés d'audit clinique et de recueil de données de terrain</w:t>
            </w:r>
          </w:p>
        </w:tc>
        <w:tc>
          <w:tcPr>
            <w:tcW w:type="dxa" w:w="1296"/>
            <w:tcMar>
              <w:top w:w="60" w:type="dxa"/>
              <w:bottom w:w="60" w:type="dxa"/>
              <w:left w:w="40" w:type="dxa"/>
              <w:right w:w="40" w:type="dxa"/>
            </w:tcMar>
          </w:tcPr>
          <w:p>
            <w:pPr>
              <w:jc w:val="center"/>
            </w:pPr>
            <w:r>
              <w:rPr>
                <w:sz w:val="15"/>
              </w:rPr>
              <w:t>EOPCI</w:t>
            </w:r>
          </w:p>
        </w:tc>
        <w:tc>
          <w:tcPr>
            <w:tcW w:type="dxa" w:w="1296"/>
            <w:tcMar>
              <w:top w:w="60" w:type="dxa"/>
              <w:bottom w:w="60" w:type="dxa"/>
              <w:left w:w="40" w:type="dxa"/>
              <w:right w:w="40" w:type="dxa"/>
            </w:tcMar>
          </w:tcPr>
          <w:p>
            <w:pPr>
              <w:jc w:val="center"/>
            </w:pPr>
            <w:r>
              <w:rPr>
                <w:sz w:val="15"/>
              </w:rPr>
              <w:t>Décembre 2026</w:t>
            </w:r>
          </w:p>
        </w:tc>
        <w:tc>
          <w:tcPr>
            <w:tcW w:type="dxa" w:w="2016"/>
            <w:tcMar>
              <w:top w:w="60" w:type="dxa"/>
              <w:bottom w:w="60" w:type="dxa"/>
              <w:left w:w="60" w:type="dxa"/>
              <w:right w:w="60" w:type="dxa"/>
            </w:tcMar>
          </w:tcPr>
          <w:p>
            <w:r>
              <w:rPr>
                <w:sz w:val="15"/>
              </w:rPr>
              <w:t>Grilles d'audit disparates non harmonisées</w:t>
            </w:r>
          </w:p>
        </w:tc>
        <w:tc>
          <w:tcPr>
            <w:tcW w:type="dxa" w:w="2160"/>
            <w:tcMar>
              <w:top w:w="60" w:type="dxa"/>
              <w:bottom w:w="60" w:type="dxa"/>
              <w:left w:w="60" w:type="dxa"/>
              <w:right w:w="60" w:type="dxa"/>
            </w:tcMar>
          </w:tcPr>
          <w:p>
            <w:r>
              <w:rPr>
                <w:sz w:val="15"/>
              </w:rPr>
              <w:t>Kit complet de grilles d'audit clinique validé et disponible sous formats papier et électronique</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7.1.3. Doter l'unité PCI en matériels informatiques et de bureau indispensables au recueil statistique et à la gestion documentaire :</w:t>
              <w:br/>
              <w:t>- 1 Ordinateur portable dédié aux données PCI</w:t>
              <w:br/>
              <w:t>- 1 Imprimante multifonction (impression des grilles et rapports)</w:t>
              <w:br/>
              <w:t>- 1 Disque dur SSD externe 1 To et 1 clé USB 32 Go (sauvegarde et archivage)</w:t>
              <w:br/>
              <w:t>- 1 Armoire de rangement sécurisée des archives du CLIN</w:t>
            </w:r>
          </w:p>
        </w:tc>
        <w:tc>
          <w:tcPr>
            <w:tcW w:type="dxa" w:w="1296"/>
            <w:tcMar>
              <w:top w:w="60" w:type="dxa"/>
              <w:bottom w:w="60" w:type="dxa"/>
              <w:left w:w="40" w:type="dxa"/>
              <w:right w:w="40" w:type="dxa"/>
            </w:tcMar>
          </w:tcPr>
          <w:p>
            <w:pPr>
              <w:jc w:val="center"/>
            </w:pPr>
            <w:r>
              <w:rPr>
                <w:sz w:val="15"/>
              </w:rPr>
              <w:t>DAF / EOPCI</w:t>
            </w:r>
          </w:p>
        </w:tc>
        <w:tc>
          <w:tcPr>
            <w:tcW w:type="dxa" w:w="1296"/>
            <w:tcMar>
              <w:top w:w="60" w:type="dxa"/>
              <w:bottom w:w="60" w:type="dxa"/>
              <w:left w:w="40" w:type="dxa"/>
              <w:right w:w="40" w:type="dxa"/>
            </w:tcMar>
          </w:tcPr>
          <w:p>
            <w:pPr>
              <w:jc w:val="center"/>
            </w:pPr>
            <w:r>
              <w:rPr>
                <w:sz w:val="15"/>
              </w:rPr>
              <w:t>Novembre 2026</w:t>
            </w:r>
          </w:p>
        </w:tc>
        <w:tc>
          <w:tcPr>
            <w:tcW w:type="dxa" w:w="2016"/>
            <w:tcMar>
              <w:top w:w="60" w:type="dxa"/>
              <w:bottom w:w="60" w:type="dxa"/>
              <w:left w:w="60" w:type="dxa"/>
              <w:right w:w="60" w:type="dxa"/>
            </w:tcMar>
          </w:tcPr>
          <w:p>
            <w:r>
              <w:rPr>
                <w:sz w:val="15"/>
              </w:rPr>
              <w:t>Matériels informatiques semi-fonctionnels risquant de céder à tout moment (doc PTA CLIN)</w:t>
            </w:r>
          </w:p>
        </w:tc>
        <w:tc>
          <w:tcPr>
            <w:tcW w:type="dxa" w:w="2160"/>
            <w:tcMar>
              <w:top w:w="60" w:type="dxa"/>
              <w:bottom w:w="60" w:type="dxa"/>
              <w:left w:w="60" w:type="dxa"/>
              <w:right w:w="60" w:type="dxa"/>
            </w:tcMar>
          </w:tcPr>
          <w:p>
            <w:r>
              <w:rPr>
                <w:sz w:val="15"/>
              </w:rPr>
              <w:t>Unité PCI dotée d'équipements informatiques et d'une armoire de rangement neufs et fonctionnels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7.2. Évaluations mensuelles et audits cliniques des pratiques de soins</w:t>
            </w:r>
          </w:p>
        </w:tc>
        <w:tc>
          <w:tcPr>
            <w:tcW w:type="dxa" w:w="3888"/>
            <w:tcMar>
              <w:top w:w="60" w:type="dxa"/>
              <w:bottom w:w="60" w:type="dxa"/>
              <w:left w:w="60" w:type="dxa"/>
              <w:right w:w="60" w:type="dxa"/>
            </w:tcMar>
          </w:tcPr>
          <w:p>
            <w:r>
              <w:rPr>
                <w:sz w:val="16"/>
              </w:rPr>
              <w:t>7.2.1. Faire une fois par mois l’évaluation de l’hygiène des mains dans les services de soins (évaluation observationnelle de l'observance sur 500 opportunités par trimestre)</w:t>
            </w:r>
          </w:p>
        </w:tc>
        <w:tc>
          <w:tcPr>
            <w:tcW w:type="dxa" w:w="1296"/>
            <w:tcMar>
              <w:top w:w="60" w:type="dxa"/>
              <w:bottom w:w="60" w:type="dxa"/>
              <w:left w:w="40" w:type="dxa"/>
              <w:right w:w="40" w:type="dxa"/>
            </w:tcMar>
          </w:tcPr>
          <w:p>
            <w:pPr>
              <w:jc w:val="center"/>
            </w:pPr>
            <w:r>
              <w:rPr>
                <w:sz w:val="15"/>
              </w:rPr>
              <w:t>EOPCI / Points focaux</w:t>
            </w:r>
          </w:p>
        </w:tc>
        <w:tc>
          <w:tcPr>
            <w:tcW w:type="dxa" w:w="1296"/>
            <w:tcMar>
              <w:top w:w="60" w:type="dxa"/>
              <w:bottom w:w="60" w:type="dxa"/>
              <w:left w:w="40" w:type="dxa"/>
              <w:right w:w="40" w:type="dxa"/>
            </w:tcMar>
          </w:tcPr>
          <w:p>
            <w:pPr>
              <w:jc w:val="center"/>
            </w:pPr>
            <w:r>
              <w:rPr>
                <w:sz w:val="15"/>
              </w:rPr>
              <w:t>Mensuel (Oct. 2026 - Sept. 2027)</w:t>
            </w:r>
          </w:p>
        </w:tc>
        <w:tc>
          <w:tcPr>
            <w:tcW w:type="dxa" w:w="2016"/>
            <w:tcMar>
              <w:top w:w="60" w:type="dxa"/>
              <w:bottom w:w="60" w:type="dxa"/>
              <w:left w:w="60" w:type="dxa"/>
              <w:right w:w="60" w:type="dxa"/>
            </w:tcMar>
          </w:tcPr>
          <w:p>
            <w:r>
              <w:rPr>
                <w:sz w:val="15"/>
              </w:rPr>
              <w:t>Taux d'observance initial méconnu ou &lt; 40%</w:t>
            </w:r>
          </w:p>
        </w:tc>
        <w:tc>
          <w:tcPr>
            <w:tcW w:type="dxa" w:w="2160"/>
            <w:tcMar>
              <w:top w:w="60" w:type="dxa"/>
              <w:bottom w:w="60" w:type="dxa"/>
              <w:left w:w="60" w:type="dxa"/>
              <w:right w:w="60" w:type="dxa"/>
            </w:tcMar>
          </w:tcPr>
          <w:p>
            <w:r>
              <w:rPr>
                <w:sz w:val="15"/>
              </w:rPr>
              <w:t>12 rapports d'évaluation mensuelle ; taux d'observance global cible supérieur à 70%</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7.2.2. Doter les services en registres d'hygiène des mains (« Registre 5 mains » : 12 unités par an pour le suivi quotidien)</w:t>
            </w:r>
          </w:p>
        </w:tc>
        <w:tc>
          <w:tcPr>
            <w:tcW w:type="dxa" w:w="1296"/>
            <w:tcMar>
              <w:top w:w="60" w:type="dxa"/>
              <w:bottom w:w="60" w:type="dxa"/>
              <w:left w:w="40" w:type="dxa"/>
              <w:right w:w="40" w:type="dxa"/>
            </w:tcMar>
          </w:tcPr>
          <w:p>
            <w:pPr>
              <w:jc w:val="center"/>
            </w:pPr>
            <w:r>
              <w:rPr>
                <w:sz w:val="15"/>
              </w:rPr>
              <w:t>Économat / EOPCI</w:t>
            </w:r>
          </w:p>
        </w:tc>
        <w:tc>
          <w:tcPr>
            <w:tcW w:type="dxa" w:w="1296"/>
            <w:tcMar>
              <w:top w:w="60" w:type="dxa"/>
              <w:bottom w:w="60" w:type="dxa"/>
              <w:left w:w="40" w:type="dxa"/>
              <w:right w:w="40" w:type="dxa"/>
            </w:tcMar>
          </w:tcPr>
          <w:p>
            <w:pPr>
              <w:jc w:val="center"/>
            </w:pPr>
            <w:r>
              <w:rPr>
                <w:sz w:val="15"/>
              </w:rPr>
              <w:t>Continu</w:t>
            </w:r>
          </w:p>
        </w:tc>
        <w:tc>
          <w:tcPr>
            <w:tcW w:type="dxa" w:w="2016"/>
            <w:tcMar>
              <w:top w:w="60" w:type="dxa"/>
              <w:bottom w:w="60" w:type="dxa"/>
              <w:left w:w="60" w:type="dxa"/>
              <w:right w:w="60" w:type="dxa"/>
            </w:tcMar>
          </w:tcPr>
          <w:p>
            <w:r>
              <w:rPr>
                <w:sz w:val="15"/>
              </w:rPr>
              <w:t>Ruptures récurrentes de registres dans les unités de soins</w:t>
            </w:r>
          </w:p>
        </w:tc>
        <w:tc>
          <w:tcPr>
            <w:tcW w:type="dxa" w:w="2160"/>
            <w:tcMar>
              <w:top w:w="60" w:type="dxa"/>
              <w:bottom w:w="60" w:type="dxa"/>
              <w:left w:w="60" w:type="dxa"/>
              <w:right w:w="60" w:type="dxa"/>
            </w:tcMar>
          </w:tcPr>
          <w:p>
            <w:r>
              <w:rPr>
                <w:sz w:val="15"/>
              </w:rPr>
              <w:t>12 registres « 5 mains » grand format livrés et régulièrement servis dans chaque pôle</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7.2.3. Réaliser des audits internes PCI trimestriels sur la gestion des cathéters veineux, la gestion des DBM et le bionettoyage dans l'ensemble des départements</w:t>
            </w:r>
          </w:p>
        </w:tc>
        <w:tc>
          <w:tcPr>
            <w:tcW w:type="dxa" w:w="1296"/>
            <w:tcMar>
              <w:top w:w="60" w:type="dxa"/>
              <w:bottom w:w="60" w:type="dxa"/>
              <w:left w:w="40" w:type="dxa"/>
              <w:right w:w="40" w:type="dxa"/>
            </w:tcMar>
          </w:tcPr>
          <w:p>
            <w:pPr>
              <w:jc w:val="center"/>
            </w:pPr>
            <w:r>
              <w:rPr>
                <w:sz w:val="15"/>
              </w:rPr>
              <w:t>EOPCI / CLIN</w:t>
            </w:r>
          </w:p>
        </w:tc>
        <w:tc>
          <w:tcPr>
            <w:tcW w:type="dxa" w:w="1296"/>
            <w:tcMar>
              <w:top w:w="60" w:type="dxa"/>
              <w:bottom w:w="60" w:type="dxa"/>
              <w:left w:w="40" w:type="dxa"/>
              <w:right w:w="40" w:type="dxa"/>
            </w:tcMar>
          </w:tcPr>
          <w:p>
            <w:pPr>
              <w:jc w:val="center"/>
            </w:pPr>
            <w:r>
              <w:rPr>
                <w:sz w:val="15"/>
              </w:rPr>
              <w:t>Trimestriel (Déc. 2026, Mars, Juin, Sept. 2027)</w:t>
            </w:r>
          </w:p>
        </w:tc>
        <w:tc>
          <w:tcPr>
            <w:tcW w:type="dxa" w:w="2016"/>
            <w:tcMar>
              <w:top w:w="60" w:type="dxa"/>
              <w:bottom w:w="60" w:type="dxa"/>
              <w:left w:w="60" w:type="dxa"/>
              <w:right w:w="60" w:type="dxa"/>
            </w:tcMar>
          </w:tcPr>
          <w:p>
            <w:r>
              <w:rPr>
                <w:sz w:val="15"/>
              </w:rPr>
              <w:t>Audits cliniques sporadiques sans planification</w:t>
            </w:r>
          </w:p>
        </w:tc>
        <w:tc>
          <w:tcPr>
            <w:tcW w:type="dxa" w:w="2160"/>
            <w:tcMar>
              <w:top w:w="60" w:type="dxa"/>
              <w:bottom w:w="60" w:type="dxa"/>
              <w:left w:w="60" w:type="dxa"/>
              <w:right w:w="60" w:type="dxa"/>
            </w:tcMar>
          </w:tcPr>
          <w:p>
            <w:r>
              <w:rPr>
                <w:sz w:val="15"/>
              </w:rPr>
              <w:t>4 rapports d'audit interne produits assortis de plans de correction validés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7.3. Journée mondiale de l'hygiène des mains et restitution des données</w:t>
            </w:r>
          </w:p>
        </w:tc>
        <w:tc>
          <w:tcPr>
            <w:tcW w:type="dxa" w:w="3888"/>
            <w:tcMar>
              <w:top w:w="60" w:type="dxa"/>
              <w:bottom w:w="60" w:type="dxa"/>
              <w:left w:w="60" w:type="dxa"/>
              <w:right w:w="60" w:type="dxa"/>
            </w:tcMar>
          </w:tcPr>
          <w:p>
            <w:r>
              <w:rPr>
                <w:sz w:val="16"/>
              </w:rPr>
              <w:t>7.3.1. Faire une journée de l’hygiène des mains (organisation et célébration de la Journée internationale du 5 mai 2027 « Sauvez des vies : nettoyez-vous les mains ») :</w:t>
              <w:br/>
              <w:t>- Conférences thématiques et ateliers de démonstration pratique</w:t>
              <w:br/>
              <w:t>- Concours d'émulation du service le plus observant avec remise de prix</w:t>
              <w:br/>
              <w:t>- Distribution de flacons individuels de solution hydro-alcoolique (PHA)</w:t>
              <w:br/>
              <w:t>- Stands d'information grand public et couverture médiatique</w:t>
            </w:r>
          </w:p>
        </w:tc>
        <w:tc>
          <w:tcPr>
            <w:tcW w:type="dxa" w:w="1296"/>
            <w:tcMar>
              <w:top w:w="60" w:type="dxa"/>
              <w:bottom w:w="60" w:type="dxa"/>
              <w:left w:w="40" w:type="dxa"/>
              <w:right w:w="40" w:type="dxa"/>
            </w:tcMar>
          </w:tcPr>
          <w:p>
            <w:pPr>
              <w:jc w:val="center"/>
            </w:pPr>
            <w:r>
              <w:rPr>
                <w:sz w:val="15"/>
              </w:rPr>
              <w:t>CLIN / EOPCI / DG</w:t>
            </w:r>
          </w:p>
        </w:tc>
        <w:tc>
          <w:tcPr>
            <w:tcW w:type="dxa" w:w="1296"/>
            <w:tcMar>
              <w:top w:w="60" w:type="dxa"/>
              <w:bottom w:w="60" w:type="dxa"/>
              <w:left w:w="40" w:type="dxa"/>
              <w:right w:w="40" w:type="dxa"/>
            </w:tcMar>
          </w:tcPr>
          <w:p>
            <w:pPr>
              <w:jc w:val="center"/>
            </w:pPr>
            <w:r>
              <w:rPr>
                <w:sz w:val="15"/>
              </w:rPr>
              <w:t>Mai 2027</w:t>
            </w:r>
          </w:p>
        </w:tc>
        <w:tc>
          <w:tcPr>
            <w:tcW w:type="dxa" w:w="2016"/>
            <w:tcMar>
              <w:top w:w="60" w:type="dxa"/>
              <w:bottom w:w="60" w:type="dxa"/>
              <w:left w:w="60" w:type="dxa"/>
              <w:right w:w="60" w:type="dxa"/>
            </w:tcMar>
          </w:tcPr>
          <w:p>
            <w:r>
              <w:rPr>
                <w:sz w:val="15"/>
              </w:rPr>
              <w:t>Célébration ponctuelle à faible impact</w:t>
            </w:r>
          </w:p>
        </w:tc>
        <w:tc>
          <w:tcPr>
            <w:tcW w:type="dxa" w:w="2160"/>
            <w:tcMar>
              <w:top w:w="60" w:type="dxa"/>
              <w:bottom w:w="60" w:type="dxa"/>
              <w:left w:w="60" w:type="dxa"/>
              <w:right w:w="60" w:type="dxa"/>
            </w:tcMar>
          </w:tcPr>
          <w:p>
            <w:r>
              <w:rPr>
                <w:sz w:val="15"/>
              </w:rPr>
              <w:t>Journée célébrée avec succès, mobilisation de plus de 500 professionnels, usagers et étudiants primés</w:t>
            </w:r>
          </w:p>
        </w:tc>
        <w:tc>
          <w:tcPr>
            <w:tcW w:type="dxa" w:w="1152"/>
            <w:tcMar>
              <w:top w:w="60" w:type="dxa"/>
              <w:bottom w:w="60" w:type="dxa"/>
              <w:left w:w="40" w:type="dxa"/>
              <w:right w:w="40" w:type="dxa"/>
            </w:tcMar>
          </w:tcPr>
          <w:p>
            <w:pPr>
              <w:jc w:val="center"/>
            </w:pPr>
            <w:r>
              <w:rPr>
                <w:b/>
                <w:sz w:val="15"/>
              </w:rPr>
              <w:t>FP / PTF</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7.3.2. Élaborer un plan de restitution des audits aux parties prenantes et animer les réunions trimestrielles de restitution et retour d'information (feedback)</w:t>
            </w:r>
          </w:p>
        </w:tc>
        <w:tc>
          <w:tcPr>
            <w:tcW w:type="dxa" w:w="1296"/>
            <w:tcMar>
              <w:top w:w="60" w:type="dxa"/>
              <w:bottom w:w="60" w:type="dxa"/>
              <w:left w:w="40" w:type="dxa"/>
              <w:right w:w="40" w:type="dxa"/>
            </w:tcMar>
          </w:tcPr>
          <w:p>
            <w:pPr>
              <w:jc w:val="center"/>
            </w:pPr>
            <w:r>
              <w:rPr>
                <w:sz w:val="15"/>
              </w:rPr>
              <w:t>EOPCI / CLIN</w:t>
            </w:r>
          </w:p>
        </w:tc>
        <w:tc>
          <w:tcPr>
            <w:tcW w:type="dxa" w:w="1296"/>
            <w:tcMar>
              <w:top w:w="60" w:type="dxa"/>
              <w:bottom w:w="60" w:type="dxa"/>
              <w:left w:w="40" w:type="dxa"/>
              <w:right w:w="40" w:type="dxa"/>
            </w:tcMar>
          </w:tcPr>
          <w:p>
            <w:pPr>
              <w:jc w:val="center"/>
            </w:pPr>
            <w:r>
              <w:rPr>
                <w:sz w:val="15"/>
              </w:rPr>
              <w:t>Novembre 2026 puis Trimestriel</w:t>
            </w:r>
          </w:p>
        </w:tc>
        <w:tc>
          <w:tcPr>
            <w:tcW w:type="dxa" w:w="2016"/>
            <w:tcMar>
              <w:top w:w="60" w:type="dxa"/>
              <w:bottom w:w="60" w:type="dxa"/>
              <w:left w:w="60" w:type="dxa"/>
              <w:right w:w="60" w:type="dxa"/>
            </w:tcMar>
          </w:tcPr>
          <w:p>
            <w:r>
              <w:rPr>
                <w:sz w:val="15"/>
              </w:rPr>
              <w:t>Absence de circuit formalisé de feedback des résultats aux équipes soignantes</w:t>
            </w:r>
          </w:p>
        </w:tc>
        <w:tc>
          <w:tcPr>
            <w:tcW w:type="dxa" w:w="2160"/>
            <w:tcMar>
              <w:top w:w="60" w:type="dxa"/>
              <w:bottom w:w="60" w:type="dxa"/>
              <w:left w:w="60" w:type="dxa"/>
              <w:right w:w="60" w:type="dxa"/>
            </w:tcMar>
          </w:tcPr>
          <w:p>
            <w:r>
              <w:rPr>
                <w:sz w:val="15"/>
              </w:rPr>
              <w:t>Plan de restitution validé et 4 réunions trimestrielles de feedback tenues auprès des chefs de pôles et majors</w:t>
            </w:r>
          </w:p>
        </w:tc>
        <w:tc>
          <w:tcPr>
            <w:tcW w:type="dxa" w:w="1152"/>
            <w:tcMar>
              <w:top w:w="60" w:type="dxa"/>
              <w:bottom w:w="60" w:type="dxa"/>
              <w:left w:w="40" w:type="dxa"/>
              <w:right w:w="40" w:type="dxa"/>
            </w:tcMar>
          </w:tcPr>
          <w:p>
            <w:pPr>
              <w:jc w:val="center"/>
            </w:pPr>
            <w:r>
              <w:rPr>
                <w:b/>
                <w:sz w:val="15"/>
              </w:rPr>
              <w:t>FP</w:t>
            </w:r>
          </w:p>
        </w:tc>
      </w:tr>
      <w:tr>
        <w:trPr>
          <w:cantSplit/>
        </w:trPr>
        <w:tc>
          <w:tcPr>
            <w:tcW w:type="dxa" w:w="1872"/>
            <w:vMerge w:val="restart"/>
            <w:shd w:fill="D9E1F2"/>
            <w:tcMar>
              <w:top w:w="60" w:type="dxa"/>
              <w:bottom w:w="60" w:type="dxa"/>
              <w:left w:w="60" w:type="dxa"/>
              <w:right w:w="60" w:type="dxa"/>
            </w:tcMar>
          </w:tcPr>
          <w:p>
            <w:r>
              <w:rPr>
                <w:b/>
                <w:color w:val="1B365D"/>
                <w:sz w:val="17"/>
              </w:rPr>
              <w:t>VIII. CHARGES DE TRAVAIL, DOTATION EN PERSONNEL, GESTION DES DÉCHETS BIOMÉDICAUX ET ENVIRONNEMENT BÂTI (WASH)</w:t>
            </w:r>
          </w:p>
        </w:tc>
        <w:tc>
          <w:tcPr>
            <w:tcW w:type="dxa" w:w="2304"/>
            <w:vMerge w:val="restart"/>
            <w:shd w:fill="F2F2F2"/>
            <w:tcMar>
              <w:top w:w="60" w:type="dxa"/>
              <w:bottom w:w="60" w:type="dxa"/>
              <w:left w:w="60" w:type="dxa"/>
              <w:right w:w="60" w:type="dxa"/>
            </w:tcMar>
          </w:tcPr>
          <w:p>
            <w:r>
              <w:rPr>
                <w:b/>
                <w:sz w:val="15"/>
              </w:rPr>
              <w:t>8.1. Charge de travail, dotation en personnel, fiches de poste et réseau de points focaux</w:t>
            </w:r>
          </w:p>
        </w:tc>
        <w:tc>
          <w:tcPr>
            <w:tcW w:type="dxa" w:w="3888"/>
            <w:tcMar>
              <w:top w:w="60" w:type="dxa"/>
              <w:bottom w:w="60" w:type="dxa"/>
              <w:left w:w="60" w:type="dxa"/>
              <w:right w:w="60" w:type="dxa"/>
            </w:tcMar>
          </w:tcPr>
          <w:p>
            <w:r>
              <w:rPr>
                <w:sz w:val="16"/>
              </w:rPr>
              <w:t>8.1.1. Faire l’évaluation de la charge de travail, du niveau de dotation en personnel soignant, de l’occupation des lits et de leurs espacements dans les pôles d'hospitalisation</w:t>
            </w:r>
          </w:p>
        </w:tc>
        <w:tc>
          <w:tcPr>
            <w:tcW w:type="dxa" w:w="1296"/>
            <w:tcMar>
              <w:top w:w="60" w:type="dxa"/>
              <w:bottom w:w="60" w:type="dxa"/>
              <w:left w:w="40" w:type="dxa"/>
              <w:right w:w="40" w:type="dxa"/>
            </w:tcMar>
          </w:tcPr>
          <w:p>
            <w:pPr>
              <w:jc w:val="center"/>
            </w:pPr>
            <w:r>
              <w:rPr>
                <w:sz w:val="15"/>
              </w:rPr>
              <w:t>EOPCI / DSIO / DRH</w:t>
            </w:r>
          </w:p>
        </w:tc>
        <w:tc>
          <w:tcPr>
            <w:tcW w:type="dxa" w:w="1296"/>
            <w:tcMar>
              <w:top w:w="60" w:type="dxa"/>
              <w:bottom w:w="60" w:type="dxa"/>
              <w:left w:w="40" w:type="dxa"/>
              <w:right w:w="40" w:type="dxa"/>
            </w:tcMar>
          </w:tcPr>
          <w:p>
            <w:pPr>
              <w:jc w:val="center"/>
            </w:pPr>
            <w:r>
              <w:rPr>
                <w:sz w:val="15"/>
              </w:rPr>
              <w:t>Janvier - Février 2027</w:t>
            </w:r>
          </w:p>
        </w:tc>
        <w:tc>
          <w:tcPr>
            <w:tcW w:type="dxa" w:w="2016"/>
            <w:tcMar>
              <w:top w:w="60" w:type="dxa"/>
              <w:bottom w:w="60" w:type="dxa"/>
              <w:left w:w="60" w:type="dxa"/>
              <w:right w:w="60" w:type="dxa"/>
            </w:tcMar>
          </w:tcPr>
          <w:p>
            <w:r>
              <w:rPr>
                <w:sz w:val="15"/>
              </w:rPr>
              <w:t>Promiscuité des lits et surcharge de travail non quantifiées objectivement</w:t>
            </w:r>
          </w:p>
        </w:tc>
        <w:tc>
          <w:tcPr>
            <w:tcW w:type="dxa" w:w="2160"/>
            <w:tcMar>
              <w:top w:w="60" w:type="dxa"/>
              <w:bottom w:w="60" w:type="dxa"/>
              <w:left w:w="60" w:type="dxa"/>
              <w:right w:w="60" w:type="dxa"/>
            </w:tcMar>
          </w:tcPr>
          <w:p>
            <w:r>
              <w:rPr>
                <w:sz w:val="15"/>
              </w:rPr>
              <w:t>Rapport d'évaluation disponible préconisant le respect de l'espacement minimal d'1 mètre et l'adaptation des ratios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8.1.2. Élaborer et formaliser la description des tâches (fiches de poste) relatives à la PCI pour chaque profil professionnel (médecins, sages-femmes, infirmiers, aides-soignants, agents d'entretien)</w:t>
            </w:r>
          </w:p>
        </w:tc>
        <w:tc>
          <w:tcPr>
            <w:tcW w:type="dxa" w:w="1296"/>
            <w:tcMar>
              <w:top w:w="60" w:type="dxa"/>
              <w:bottom w:w="60" w:type="dxa"/>
              <w:left w:w="40" w:type="dxa"/>
              <w:right w:w="40" w:type="dxa"/>
            </w:tcMar>
          </w:tcPr>
          <w:p>
            <w:pPr>
              <w:jc w:val="center"/>
            </w:pPr>
            <w:r>
              <w:rPr>
                <w:sz w:val="15"/>
              </w:rPr>
              <w:t>DRH / EOPCI / CLIN</w:t>
            </w:r>
          </w:p>
        </w:tc>
        <w:tc>
          <w:tcPr>
            <w:tcW w:type="dxa" w:w="1296"/>
            <w:tcMar>
              <w:top w:w="60" w:type="dxa"/>
              <w:bottom w:w="60" w:type="dxa"/>
              <w:left w:w="40" w:type="dxa"/>
              <w:right w:w="40" w:type="dxa"/>
            </w:tcMar>
          </w:tcPr>
          <w:p>
            <w:pPr>
              <w:jc w:val="center"/>
            </w:pPr>
            <w:r>
              <w:rPr>
                <w:sz w:val="15"/>
              </w:rPr>
              <w:t>Février - Mars 2027</w:t>
            </w:r>
          </w:p>
        </w:tc>
        <w:tc>
          <w:tcPr>
            <w:tcW w:type="dxa" w:w="2016"/>
            <w:tcMar>
              <w:top w:w="60" w:type="dxa"/>
              <w:bottom w:w="60" w:type="dxa"/>
              <w:left w:w="60" w:type="dxa"/>
              <w:right w:w="60" w:type="dxa"/>
            </w:tcMar>
          </w:tcPr>
          <w:p>
            <w:r>
              <w:rPr>
                <w:sz w:val="15"/>
              </w:rPr>
              <w:t>Fiches de poste existantes muettes sur les obligations de PCI</w:t>
            </w:r>
          </w:p>
        </w:tc>
        <w:tc>
          <w:tcPr>
            <w:tcW w:type="dxa" w:w="2160"/>
            <w:tcMar>
              <w:top w:w="60" w:type="dxa"/>
              <w:bottom w:w="60" w:type="dxa"/>
              <w:left w:w="60" w:type="dxa"/>
              <w:right w:w="60" w:type="dxa"/>
            </w:tcMar>
          </w:tcPr>
          <w:p>
            <w:r>
              <w:rPr>
                <w:sz w:val="15"/>
              </w:rPr>
              <w:t>100% des fiches de poste révisées intégrant les tâches et responsabilités explicites en PCI</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8.1.3. Désigner formellement, installer et dynamiser les points focaux PCI dans tous les services cliniques et médico-techniques (binôme soignant et agent d'entretien)</w:t>
            </w:r>
          </w:p>
        </w:tc>
        <w:tc>
          <w:tcPr>
            <w:tcW w:type="dxa" w:w="1296"/>
            <w:tcMar>
              <w:top w:w="60" w:type="dxa"/>
              <w:bottom w:w="60" w:type="dxa"/>
              <w:left w:w="40" w:type="dxa"/>
              <w:right w:w="40" w:type="dxa"/>
            </w:tcMar>
          </w:tcPr>
          <w:p>
            <w:pPr>
              <w:jc w:val="center"/>
            </w:pPr>
            <w:r>
              <w:rPr>
                <w:sz w:val="15"/>
              </w:rPr>
              <w:t>EOPCI / DG</w:t>
            </w:r>
          </w:p>
        </w:tc>
        <w:tc>
          <w:tcPr>
            <w:tcW w:type="dxa" w:w="1296"/>
            <w:tcMar>
              <w:top w:w="60" w:type="dxa"/>
              <w:bottom w:w="60" w:type="dxa"/>
              <w:left w:w="40" w:type="dxa"/>
              <w:right w:w="40" w:type="dxa"/>
            </w:tcMar>
          </w:tcPr>
          <w:p>
            <w:pPr>
              <w:jc w:val="center"/>
            </w:pPr>
            <w:r>
              <w:rPr>
                <w:sz w:val="15"/>
              </w:rPr>
              <w:t>Novembre 2026 - Janvier 2027</w:t>
            </w:r>
          </w:p>
        </w:tc>
        <w:tc>
          <w:tcPr>
            <w:tcW w:type="dxa" w:w="2016"/>
            <w:tcMar>
              <w:top w:w="60" w:type="dxa"/>
              <w:bottom w:w="60" w:type="dxa"/>
              <w:left w:w="60" w:type="dxa"/>
              <w:right w:w="60" w:type="dxa"/>
            </w:tcMar>
          </w:tcPr>
          <w:p>
            <w:r>
              <w:rPr>
                <w:sz w:val="15"/>
              </w:rPr>
              <w:t>Absence de réseau formalisé de relais de terrain</w:t>
            </w:r>
          </w:p>
        </w:tc>
        <w:tc>
          <w:tcPr>
            <w:tcW w:type="dxa" w:w="2160"/>
            <w:tcMar>
              <w:top w:w="60" w:type="dxa"/>
              <w:bottom w:w="60" w:type="dxa"/>
              <w:left w:w="60" w:type="dxa"/>
              <w:right w:w="60" w:type="dxa"/>
            </w:tcMar>
          </w:tcPr>
          <w:p>
            <w:r>
              <w:rPr>
                <w:sz w:val="15"/>
              </w:rPr>
              <w:t>24 points focaux nommés par note de service, dotés d'une lettre de mission et opérationnels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8.2. Gestion sécurisée et filière d'élimination des Déchets Biomédicaux (DBM)</w:t>
            </w:r>
          </w:p>
        </w:tc>
        <w:tc>
          <w:tcPr>
            <w:tcW w:type="dxa" w:w="3888"/>
            <w:tcMar>
              <w:top w:w="60" w:type="dxa"/>
              <w:bottom w:w="60" w:type="dxa"/>
              <w:left w:w="60" w:type="dxa"/>
              <w:right w:w="60" w:type="dxa"/>
            </w:tcMar>
          </w:tcPr>
          <w:p>
            <w:r>
              <w:rPr>
                <w:sz w:val="16"/>
              </w:rPr>
              <w:t>8.2.1. Superviser mensuellement la gestion des déchets biomédicaux dans les services (tri à la source, conditionnement en sacs jaunes, pesée/tonnage, transport interne et stockage temporaire)</w:t>
            </w:r>
          </w:p>
        </w:tc>
        <w:tc>
          <w:tcPr>
            <w:tcW w:type="dxa" w:w="1296"/>
            <w:tcMar>
              <w:top w:w="60" w:type="dxa"/>
              <w:bottom w:w="60" w:type="dxa"/>
              <w:left w:w="40" w:type="dxa"/>
              <w:right w:w="40" w:type="dxa"/>
            </w:tcMar>
          </w:tcPr>
          <w:p>
            <w:pPr>
              <w:jc w:val="center"/>
            </w:pPr>
            <w:r>
              <w:rPr>
                <w:sz w:val="15"/>
              </w:rPr>
              <w:t>EOPCI / Service Salubrité</w:t>
            </w:r>
          </w:p>
        </w:tc>
        <w:tc>
          <w:tcPr>
            <w:tcW w:type="dxa" w:w="1296"/>
            <w:tcMar>
              <w:top w:w="60" w:type="dxa"/>
              <w:bottom w:w="60" w:type="dxa"/>
              <w:left w:w="40" w:type="dxa"/>
              <w:right w:w="40" w:type="dxa"/>
            </w:tcMar>
          </w:tcPr>
          <w:p>
            <w:pPr>
              <w:jc w:val="center"/>
            </w:pPr>
            <w:r>
              <w:rPr>
                <w:sz w:val="15"/>
              </w:rPr>
              <w:t>Mensuel (Continu)</w:t>
            </w:r>
          </w:p>
        </w:tc>
        <w:tc>
          <w:tcPr>
            <w:tcW w:type="dxa" w:w="2016"/>
            <w:tcMar>
              <w:top w:w="60" w:type="dxa"/>
              <w:bottom w:w="60" w:type="dxa"/>
              <w:left w:w="60" w:type="dxa"/>
              <w:right w:w="60" w:type="dxa"/>
            </w:tcMar>
          </w:tcPr>
          <w:p>
            <w:r>
              <w:rPr>
                <w:sz w:val="15"/>
              </w:rPr>
              <w:t>Mélanges fréquents de déchets et ruptures de sacs poubelles</w:t>
            </w:r>
          </w:p>
        </w:tc>
        <w:tc>
          <w:tcPr>
            <w:tcW w:type="dxa" w:w="2160"/>
            <w:tcMar>
              <w:top w:w="60" w:type="dxa"/>
              <w:bottom w:w="60" w:type="dxa"/>
              <w:left w:w="60" w:type="dxa"/>
              <w:right w:w="60" w:type="dxa"/>
            </w:tcMar>
          </w:tcPr>
          <w:p>
            <w:r>
              <w:rPr>
                <w:sz w:val="15"/>
              </w:rPr>
              <w:t>12 rapports mensuels de supervision ; taux de conformité du tri à la source supérieur à 80%</w:t>
            </w:r>
          </w:p>
        </w:tc>
        <w:tc>
          <w:tcPr>
            <w:tcW w:type="dxa" w:w="1152"/>
            <w:tcMar>
              <w:top w:w="60" w:type="dxa"/>
              <w:bottom w:w="60" w:type="dxa"/>
              <w:left w:w="40" w:type="dxa"/>
              <w:right w:w="40" w:type="dxa"/>
            </w:tcMar>
          </w:tcPr>
          <w:p>
            <w:pPr>
              <w:jc w:val="center"/>
            </w:pPr>
            <w:r>
              <w:rPr>
                <w:sz w:val="15"/>
              </w:rPr>
              <w:t>Néant</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8.2.2. Organiser des campagnes de sensibilisation et formation continue du personnel sur le tri rigoureux et la gestion sécurisée des déchets biomédicaux</w:t>
            </w:r>
          </w:p>
        </w:tc>
        <w:tc>
          <w:tcPr>
            <w:tcW w:type="dxa" w:w="1296"/>
            <w:tcMar>
              <w:top w:w="60" w:type="dxa"/>
              <w:bottom w:w="60" w:type="dxa"/>
              <w:left w:w="40" w:type="dxa"/>
              <w:right w:w="40" w:type="dxa"/>
            </w:tcMar>
          </w:tcPr>
          <w:p>
            <w:pPr>
              <w:jc w:val="center"/>
            </w:pPr>
            <w:r>
              <w:rPr>
                <w:sz w:val="15"/>
              </w:rPr>
              <w:t>Formateurs internes / EOPCI</w:t>
            </w:r>
          </w:p>
        </w:tc>
        <w:tc>
          <w:tcPr>
            <w:tcW w:type="dxa" w:w="1296"/>
            <w:tcMar>
              <w:top w:w="60" w:type="dxa"/>
              <w:bottom w:w="60" w:type="dxa"/>
              <w:left w:w="40" w:type="dxa"/>
              <w:right w:w="40" w:type="dxa"/>
            </w:tcMar>
          </w:tcPr>
          <w:p>
            <w:pPr>
              <w:jc w:val="center"/>
            </w:pPr>
            <w:r>
              <w:rPr>
                <w:sz w:val="15"/>
              </w:rPr>
              <w:t>Décembre 2026 - Mai 2027</w:t>
            </w:r>
          </w:p>
        </w:tc>
        <w:tc>
          <w:tcPr>
            <w:tcW w:type="dxa" w:w="2016"/>
            <w:tcMar>
              <w:top w:w="60" w:type="dxa"/>
              <w:bottom w:w="60" w:type="dxa"/>
              <w:left w:w="60" w:type="dxa"/>
              <w:right w:w="60" w:type="dxa"/>
            </w:tcMar>
          </w:tcPr>
          <w:p>
            <w:r>
              <w:rPr>
                <w:sz w:val="15"/>
              </w:rPr>
              <w:t>Personnel insuffisamment formé aux risques liés aux DBM et AES</w:t>
            </w:r>
          </w:p>
        </w:tc>
        <w:tc>
          <w:tcPr>
            <w:tcW w:type="dxa" w:w="2160"/>
            <w:tcMar>
              <w:top w:w="60" w:type="dxa"/>
              <w:bottom w:w="60" w:type="dxa"/>
              <w:left w:w="60" w:type="dxa"/>
              <w:right w:w="60" w:type="dxa"/>
            </w:tcMar>
          </w:tcPr>
          <w:p>
            <w:r>
              <w:rPr>
                <w:sz w:val="15"/>
              </w:rPr>
              <w:t>400 professionnels de santé et d'entretien sensibilisés et formés à la manipulation des DBM</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8.2.3. Acquérir des équipements de tri et un dispositif de pesée / tonnage des DBM :</w:t>
              <w:br/>
              <w:t>- Acquérir 50 poubelles à pédale réglementaires aux couleurs normatives (jaunes et noires)</w:t>
              <w:br/>
              <w:t>- Acquérir 1 peson/balance industrielle pour le pesage journalier et le suivi du tonnage des DBM</w:t>
            </w:r>
          </w:p>
        </w:tc>
        <w:tc>
          <w:tcPr>
            <w:tcW w:type="dxa" w:w="1296"/>
            <w:tcMar>
              <w:top w:w="60" w:type="dxa"/>
              <w:bottom w:w="60" w:type="dxa"/>
              <w:left w:w="40" w:type="dxa"/>
              <w:right w:w="40" w:type="dxa"/>
            </w:tcMar>
          </w:tcPr>
          <w:p>
            <w:pPr>
              <w:jc w:val="center"/>
            </w:pPr>
            <w:r>
              <w:rPr>
                <w:sz w:val="15"/>
              </w:rPr>
              <w:t>DAF / Économat / EOPCI</w:t>
            </w:r>
          </w:p>
        </w:tc>
        <w:tc>
          <w:tcPr>
            <w:tcW w:type="dxa" w:w="1296"/>
            <w:tcMar>
              <w:top w:w="60" w:type="dxa"/>
              <w:bottom w:w="60" w:type="dxa"/>
              <w:left w:w="40" w:type="dxa"/>
              <w:right w:w="40" w:type="dxa"/>
            </w:tcMar>
          </w:tcPr>
          <w:p>
            <w:pPr>
              <w:jc w:val="center"/>
            </w:pPr>
            <w:r>
              <w:rPr>
                <w:sz w:val="15"/>
              </w:rPr>
              <w:t>Novembre - Décembre 2026</w:t>
            </w:r>
          </w:p>
        </w:tc>
        <w:tc>
          <w:tcPr>
            <w:tcW w:type="dxa" w:w="2016"/>
            <w:tcMar>
              <w:top w:w="60" w:type="dxa"/>
              <w:bottom w:w="60" w:type="dxa"/>
              <w:left w:w="60" w:type="dxa"/>
              <w:right w:w="60" w:type="dxa"/>
            </w:tcMar>
          </w:tcPr>
          <w:p>
            <w:r>
              <w:rPr>
                <w:sz w:val="15"/>
              </w:rPr>
              <w:t>Poubelles vétustes, absence de pédale sur plusieurs postes, absence de pesée systématique</w:t>
            </w:r>
          </w:p>
        </w:tc>
        <w:tc>
          <w:tcPr>
            <w:tcW w:type="dxa" w:w="2160"/>
            <w:tcMar>
              <w:top w:w="60" w:type="dxa"/>
              <w:bottom w:w="60" w:type="dxa"/>
              <w:left w:w="60" w:type="dxa"/>
              <w:right w:w="60" w:type="dxa"/>
            </w:tcMar>
          </w:tcPr>
          <w:p>
            <w:r>
              <w:rPr>
                <w:sz w:val="15"/>
              </w:rPr>
              <w:t>50 poubelles à pédale neuves réparties dans les unités et 1 système de pesage/tonnage fonctionnel</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8.2.4. Faire installer un incinérateur hospitalier fonctionnel et de capacité suffisante :</w:t>
              <w:br/>
              <w:t>- Réaliser l'audit technique de dimensionnement et le cahier des charges d'appel d'offres</w:t>
              <w:br/>
              <w:t>- Conduire les démarches de financement et plaidoyer auprès du Ministère de la Santé et des PTF</w:t>
              <w:br/>
              <w:t>- Réaliser les travaux de génie civil et d'installation de l'incinérateur pyrolytique moderne</w:t>
            </w:r>
          </w:p>
        </w:tc>
        <w:tc>
          <w:tcPr>
            <w:tcW w:type="dxa" w:w="1296"/>
            <w:tcMar>
              <w:top w:w="60" w:type="dxa"/>
              <w:bottom w:w="60" w:type="dxa"/>
              <w:left w:w="40" w:type="dxa"/>
              <w:right w:w="40" w:type="dxa"/>
            </w:tcMar>
          </w:tcPr>
          <w:p>
            <w:pPr>
              <w:jc w:val="center"/>
            </w:pPr>
            <w:r>
              <w:rPr>
                <w:sz w:val="15"/>
              </w:rPr>
              <w:t>DG / DST / Ministère de la Santé / PTF</w:t>
            </w:r>
          </w:p>
        </w:tc>
        <w:tc>
          <w:tcPr>
            <w:tcW w:type="dxa" w:w="1296"/>
            <w:tcMar>
              <w:top w:w="60" w:type="dxa"/>
              <w:bottom w:w="60" w:type="dxa"/>
              <w:left w:w="40" w:type="dxa"/>
              <w:right w:w="40" w:type="dxa"/>
            </w:tcMar>
          </w:tcPr>
          <w:p>
            <w:pPr>
              <w:jc w:val="center"/>
            </w:pPr>
            <w:r>
              <w:rPr>
                <w:sz w:val="15"/>
              </w:rPr>
              <w:t>Janvier - Août 2027</w:t>
            </w:r>
          </w:p>
        </w:tc>
        <w:tc>
          <w:tcPr>
            <w:tcW w:type="dxa" w:w="2016"/>
            <w:tcMar>
              <w:top w:w="60" w:type="dxa"/>
              <w:bottom w:w="60" w:type="dxa"/>
              <w:left w:w="60" w:type="dxa"/>
              <w:right w:w="60" w:type="dxa"/>
            </w:tcMar>
          </w:tcPr>
          <w:p>
            <w:r>
              <w:rPr>
                <w:sz w:val="15"/>
              </w:rPr>
              <w:t>Traitement non optimal des DBM / incinérateur défaillant</w:t>
            </w:r>
          </w:p>
        </w:tc>
        <w:tc>
          <w:tcPr>
            <w:tcW w:type="dxa" w:w="2160"/>
            <w:tcMar>
              <w:top w:w="60" w:type="dxa"/>
              <w:bottom w:w="60" w:type="dxa"/>
              <w:left w:w="60" w:type="dxa"/>
              <w:right w:w="60" w:type="dxa"/>
            </w:tcMar>
          </w:tcPr>
          <w:p>
            <w:r>
              <w:rPr>
                <w:sz w:val="15"/>
              </w:rPr>
              <w:t>Dossier technique finalisé, financements mobilisés et incinérateur de capacité suffisante réceptionné</w:t>
            </w:r>
          </w:p>
        </w:tc>
        <w:tc>
          <w:tcPr>
            <w:tcW w:type="dxa" w:w="1152"/>
            <w:tcMar>
              <w:top w:w="60" w:type="dxa"/>
              <w:bottom w:w="60" w:type="dxa"/>
              <w:left w:w="40" w:type="dxa"/>
              <w:right w:w="40" w:type="dxa"/>
            </w:tcMar>
          </w:tcPr>
          <w:p>
            <w:pPr>
              <w:jc w:val="center"/>
            </w:pPr>
            <w:r>
              <w:rPr>
                <w:b/>
                <w:sz w:val="15"/>
              </w:rPr>
              <w:t>FP (études) / PTF-État (travaux)</w:t>
            </w:r>
          </w:p>
        </w:tc>
      </w:tr>
      <w:tr>
        <w:trPr>
          <w:cantSplit/>
        </w:trPr>
        <w:tc>
          <w:tcPr>
            <w:tcW w:type="dxa" w:w="1888"/>
            <w:vMerge/>
          </w:tcPr>
          <w:p/>
        </w:tc>
        <w:tc>
          <w:tcPr>
            <w:tcW w:type="dxa" w:w="2304"/>
            <w:vMerge w:val="restart"/>
            <w:shd w:fill="F2F2F2"/>
            <w:tcMar>
              <w:top w:w="60" w:type="dxa"/>
              <w:bottom w:w="60" w:type="dxa"/>
              <w:left w:w="60" w:type="dxa"/>
              <w:right w:w="60" w:type="dxa"/>
            </w:tcMar>
          </w:tcPr>
          <w:p>
            <w:r>
              <w:rPr>
                <w:b/>
                <w:sz w:val="15"/>
              </w:rPr>
              <w:t>8.3. Eau, assainissement, contrôle des désinfectants et approvisionnement en consommables (WASH)</w:t>
            </w:r>
          </w:p>
        </w:tc>
        <w:tc>
          <w:tcPr>
            <w:tcW w:type="dxa" w:w="3888"/>
            <w:tcMar>
              <w:top w:w="60" w:type="dxa"/>
              <w:bottom w:w="60" w:type="dxa"/>
              <w:left w:w="60" w:type="dxa"/>
              <w:right w:w="60" w:type="dxa"/>
            </w:tcMar>
          </w:tcPr>
          <w:p>
            <w:r>
              <w:rPr>
                <w:sz w:val="16"/>
              </w:rPr>
              <w:t>8.3.1. Vérifier la qualité de l’eau une fois par an (analyses physico-chimiques et bactériologiques des forages, réservoirs de stockage et robinets de soins par un laboratoire agréé)</w:t>
            </w:r>
          </w:p>
        </w:tc>
        <w:tc>
          <w:tcPr>
            <w:tcW w:type="dxa" w:w="1296"/>
            <w:tcMar>
              <w:top w:w="60" w:type="dxa"/>
              <w:bottom w:w="60" w:type="dxa"/>
              <w:left w:w="40" w:type="dxa"/>
              <w:right w:w="40" w:type="dxa"/>
            </w:tcMar>
          </w:tcPr>
          <w:p>
            <w:pPr>
              <w:jc w:val="center"/>
            </w:pPr>
            <w:r>
              <w:rPr>
                <w:sz w:val="15"/>
              </w:rPr>
              <w:t>EOPCI / DST / Laboratoire d'Hygiène de l'Eau</w:t>
            </w:r>
          </w:p>
        </w:tc>
        <w:tc>
          <w:tcPr>
            <w:tcW w:type="dxa" w:w="1296"/>
            <w:tcMar>
              <w:top w:w="60" w:type="dxa"/>
              <w:bottom w:w="60" w:type="dxa"/>
              <w:left w:w="40" w:type="dxa"/>
              <w:right w:w="40" w:type="dxa"/>
            </w:tcMar>
          </w:tcPr>
          <w:p>
            <w:pPr>
              <w:jc w:val="center"/>
            </w:pPr>
            <w:r>
              <w:rPr>
                <w:sz w:val="15"/>
              </w:rPr>
              <w:t>Mars 2027</w:t>
            </w:r>
          </w:p>
        </w:tc>
        <w:tc>
          <w:tcPr>
            <w:tcW w:type="dxa" w:w="2016"/>
            <w:tcMar>
              <w:top w:w="60" w:type="dxa"/>
              <w:bottom w:w="60" w:type="dxa"/>
              <w:left w:w="60" w:type="dxa"/>
              <w:right w:w="60" w:type="dxa"/>
            </w:tcMar>
          </w:tcPr>
          <w:p>
            <w:r>
              <w:rPr>
                <w:sz w:val="15"/>
              </w:rPr>
              <w:t>Absence de contrôle bactériologique annuel certifié</w:t>
            </w:r>
          </w:p>
        </w:tc>
        <w:tc>
          <w:tcPr>
            <w:tcW w:type="dxa" w:w="2160"/>
            <w:tcMar>
              <w:top w:w="60" w:type="dxa"/>
              <w:bottom w:w="60" w:type="dxa"/>
              <w:left w:w="60" w:type="dxa"/>
              <w:right w:w="60" w:type="dxa"/>
            </w:tcMar>
          </w:tcPr>
          <w:p>
            <w:r>
              <w:rPr>
                <w:sz w:val="15"/>
              </w:rPr>
              <w:t>Rapport officiel attestant la potabilité de l'eau distribuée délivré et mesures correctives prises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8.3.2. Vérifier la qualité et la concentration des matériels et produits de désinfection (titrage régulier du chlore actif de l'eau de javel et conformité des solutions hydro-alcooliques)</w:t>
            </w:r>
          </w:p>
        </w:tc>
        <w:tc>
          <w:tcPr>
            <w:tcW w:type="dxa" w:w="1296"/>
            <w:tcMar>
              <w:top w:w="60" w:type="dxa"/>
              <w:bottom w:w="60" w:type="dxa"/>
              <w:left w:w="40" w:type="dxa"/>
              <w:right w:w="40" w:type="dxa"/>
            </w:tcMar>
          </w:tcPr>
          <w:p>
            <w:pPr>
              <w:jc w:val="center"/>
            </w:pPr>
            <w:r>
              <w:rPr>
                <w:sz w:val="15"/>
              </w:rPr>
              <w:t>Pharmacie hospitalière / Laboratoire / EOPCI</w:t>
            </w:r>
          </w:p>
        </w:tc>
        <w:tc>
          <w:tcPr>
            <w:tcW w:type="dxa" w:w="1296"/>
            <w:tcMar>
              <w:top w:w="60" w:type="dxa"/>
              <w:bottom w:w="60" w:type="dxa"/>
              <w:left w:w="40" w:type="dxa"/>
              <w:right w:w="40" w:type="dxa"/>
            </w:tcMar>
          </w:tcPr>
          <w:p>
            <w:pPr>
              <w:jc w:val="center"/>
            </w:pPr>
            <w:r>
              <w:rPr>
                <w:sz w:val="15"/>
              </w:rPr>
              <w:t>Trimestriel (Nov. 2026, Fév., Mai, Août 2027)</w:t>
            </w:r>
          </w:p>
        </w:tc>
        <w:tc>
          <w:tcPr>
            <w:tcW w:type="dxa" w:w="2016"/>
            <w:tcMar>
              <w:top w:w="60" w:type="dxa"/>
              <w:bottom w:w="60" w:type="dxa"/>
              <w:left w:w="60" w:type="dxa"/>
              <w:right w:w="60" w:type="dxa"/>
            </w:tcMar>
          </w:tcPr>
          <w:p>
            <w:r>
              <w:rPr>
                <w:sz w:val="15"/>
              </w:rPr>
              <w:t>Dilutions artisanales non titrées au chloromètre</w:t>
            </w:r>
          </w:p>
        </w:tc>
        <w:tc>
          <w:tcPr>
            <w:tcW w:type="dxa" w:w="2160"/>
            <w:tcMar>
              <w:top w:w="60" w:type="dxa"/>
              <w:bottom w:w="60" w:type="dxa"/>
              <w:left w:w="60" w:type="dxa"/>
              <w:right w:w="60" w:type="dxa"/>
            </w:tcMar>
          </w:tcPr>
          <w:p>
            <w:r>
              <w:rPr>
                <w:sz w:val="15"/>
              </w:rPr>
              <w:t>4 rapports trimestriels de contrôle de qualité et de titrage du chlore actif validés</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8.3.3. Acquérir et installer 20 dispositifs ergonomiques de lavage des mains avec robinetterie non manuelle (commande au coude ou à pédale) dans les zones critiques dépourvues de points d'eau</w:t>
            </w:r>
          </w:p>
        </w:tc>
        <w:tc>
          <w:tcPr>
            <w:tcW w:type="dxa" w:w="1296"/>
            <w:tcMar>
              <w:top w:w="60" w:type="dxa"/>
              <w:bottom w:w="60" w:type="dxa"/>
              <w:left w:w="40" w:type="dxa"/>
              <w:right w:w="40" w:type="dxa"/>
            </w:tcMar>
          </w:tcPr>
          <w:p>
            <w:pPr>
              <w:jc w:val="center"/>
            </w:pPr>
            <w:r>
              <w:rPr>
                <w:sz w:val="15"/>
              </w:rPr>
              <w:t>DST / DAF / EOPCI</w:t>
            </w:r>
          </w:p>
        </w:tc>
        <w:tc>
          <w:tcPr>
            <w:tcW w:type="dxa" w:w="1296"/>
            <w:tcMar>
              <w:top w:w="60" w:type="dxa"/>
              <w:bottom w:w="60" w:type="dxa"/>
              <w:left w:w="40" w:type="dxa"/>
              <w:right w:w="40" w:type="dxa"/>
            </w:tcMar>
          </w:tcPr>
          <w:p>
            <w:pPr>
              <w:jc w:val="center"/>
            </w:pPr>
            <w:r>
              <w:rPr>
                <w:sz w:val="15"/>
              </w:rPr>
              <w:t>Décembre 2026 - Mars 2027</w:t>
            </w:r>
          </w:p>
        </w:tc>
        <w:tc>
          <w:tcPr>
            <w:tcW w:type="dxa" w:w="2016"/>
            <w:tcMar>
              <w:top w:w="60" w:type="dxa"/>
              <w:bottom w:w="60" w:type="dxa"/>
              <w:left w:w="60" w:type="dxa"/>
              <w:right w:w="60" w:type="dxa"/>
            </w:tcMar>
          </w:tcPr>
          <w:p>
            <w:r>
              <w:rPr>
                <w:sz w:val="15"/>
              </w:rPr>
              <w:t>Points d'eau insuffisants ou robinets manuels sources de recontamination</w:t>
            </w:r>
          </w:p>
        </w:tc>
        <w:tc>
          <w:tcPr>
            <w:tcW w:type="dxa" w:w="2160"/>
            <w:tcMar>
              <w:top w:w="60" w:type="dxa"/>
              <w:bottom w:w="60" w:type="dxa"/>
              <w:left w:w="60" w:type="dxa"/>
              <w:right w:w="60" w:type="dxa"/>
            </w:tcMar>
          </w:tcPr>
          <w:p>
            <w:r>
              <w:rPr>
                <w:sz w:val="15"/>
              </w:rPr>
              <w:t>20 nouveaux postes ergonomiques de lavage des mains installés et raccordés au réseau</w:t>
            </w:r>
          </w:p>
        </w:tc>
        <w:tc>
          <w:tcPr>
            <w:tcW w:type="dxa" w:w="1152"/>
            <w:tcMar>
              <w:top w:w="60" w:type="dxa"/>
              <w:bottom w:w="60" w:type="dxa"/>
              <w:left w:w="40" w:type="dxa"/>
              <w:right w:w="40" w:type="dxa"/>
            </w:tcMar>
          </w:tcPr>
          <w:p>
            <w:pPr>
              <w:jc w:val="center"/>
            </w:pPr>
            <w:r>
              <w:rPr>
                <w:b/>
                <w:sz w:val="15"/>
              </w:rPr>
              <w:t>FP</w:t>
            </w:r>
          </w:p>
        </w:tc>
      </w:tr>
      <w:tr>
        <w:trPr>
          <w:cantSplit/>
        </w:trPr>
        <w:tc>
          <w:tcPr>
            <w:tcW w:type="dxa" w:w="1888"/>
            <w:vMerge/>
          </w:tcPr>
          <w:p/>
        </w:tc>
        <w:tc>
          <w:tcPr>
            <w:tcW w:type="dxa" w:w="1888"/>
            <w:vMerge/>
          </w:tcPr>
          <w:p/>
        </w:tc>
        <w:tc>
          <w:tcPr>
            <w:tcW w:type="dxa" w:w="3888"/>
            <w:tcMar>
              <w:top w:w="60" w:type="dxa"/>
              <w:bottom w:w="60" w:type="dxa"/>
              <w:left w:w="60" w:type="dxa"/>
              <w:right w:w="60" w:type="dxa"/>
            </w:tcMar>
          </w:tcPr>
          <w:p>
            <w:r>
              <w:rPr>
                <w:sz w:val="16"/>
              </w:rPr>
              <w:t>8.3.4. Assurer la dotation annuelle en consommables d'hygiène et fournitures ordinaires indispensables au fonctionnement du CLIN/PCI :</w:t>
              <w:br/>
              <w:t>- Savon liquide pour le lavage des mains (250 Litres)</w:t>
              <w:br/>
              <w:t>- Essuie-mains jetables à usage unique (250 rouleaux)</w:t>
              <w:br/>
              <w:t>- Fournitures de bureau annuelles (12 cartons papier RAM, 12 recharges encre imprimante A80, stylos, chemises dossiers, agrafes, registres)</w:t>
            </w:r>
          </w:p>
        </w:tc>
        <w:tc>
          <w:tcPr>
            <w:tcW w:type="dxa" w:w="1296"/>
            <w:tcMar>
              <w:top w:w="60" w:type="dxa"/>
              <w:bottom w:w="60" w:type="dxa"/>
              <w:left w:w="40" w:type="dxa"/>
              <w:right w:w="40" w:type="dxa"/>
            </w:tcMar>
          </w:tcPr>
          <w:p>
            <w:pPr>
              <w:jc w:val="center"/>
            </w:pPr>
            <w:r>
              <w:rPr>
                <w:sz w:val="15"/>
              </w:rPr>
              <w:t>Économat / DAF / Point focal PCI</w:t>
            </w:r>
          </w:p>
        </w:tc>
        <w:tc>
          <w:tcPr>
            <w:tcW w:type="dxa" w:w="1296"/>
            <w:tcMar>
              <w:top w:w="60" w:type="dxa"/>
              <w:bottom w:w="60" w:type="dxa"/>
              <w:left w:w="40" w:type="dxa"/>
              <w:right w:w="40" w:type="dxa"/>
            </w:tcMar>
          </w:tcPr>
          <w:p>
            <w:pPr>
              <w:jc w:val="center"/>
            </w:pPr>
            <w:r>
              <w:rPr>
                <w:sz w:val="15"/>
              </w:rPr>
              <w:t>Trimestriel (Continu)</w:t>
            </w:r>
          </w:p>
        </w:tc>
        <w:tc>
          <w:tcPr>
            <w:tcW w:type="dxa" w:w="2016"/>
            <w:tcMar>
              <w:top w:w="60" w:type="dxa"/>
              <w:bottom w:w="60" w:type="dxa"/>
              <w:left w:w="60" w:type="dxa"/>
              <w:right w:w="60" w:type="dxa"/>
            </w:tcMar>
          </w:tcPr>
          <w:p>
            <w:r>
              <w:rPr>
                <w:sz w:val="15"/>
              </w:rPr>
              <w:t>Ruptures épisodiques de savon liquide et essuie-mains</w:t>
            </w:r>
          </w:p>
        </w:tc>
        <w:tc>
          <w:tcPr>
            <w:tcW w:type="dxa" w:w="2160"/>
            <w:tcMar>
              <w:top w:w="60" w:type="dxa"/>
              <w:bottom w:w="60" w:type="dxa"/>
              <w:left w:w="60" w:type="dxa"/>
              <w:right w:w="60" w:type="dxa"/>
            </w:tcMar>
          </w:tcPr>
          <w:p>
            <w:r>
              <w:rPr>
                <w:sz w:val="15"/>
              </w:rPr>
              <w:t>Zéro rupture de stock en savon liquide et essuie-mains constatée dans les blocs et unités critiques</w:t>
            </w:r>
          </w:p>
        </w:tc>
        <w:tc>
          <w:tcPr>
            <w:tcW w:type="dxa" w:w="1152"/>
            <w:tcMar>
              <w:top w:w="60" w:type="dxa"/>
              <w:bottom w:w="60" w:type="dxa"/>
              <w:left w:w="40" w:type="dxa"/>
              <w:right w:w="40" w:type="dxa"/>
            </w:tcMar>
          </w:tcPr>
          <w:p>
            <w:pPr>
              <w:jc w:val="center"/>
            </w:pPr>
            <w:r>
              <w:rPr>
                <w:b/>
                <w:sz w:val="15"/>
              </w:rPr>
              <w:t>FP</w:t>
            </w:r>
          </w:p>
        </w:tc>
      </w:tr>
    </w:tbl>
    <w:p>
      <w:r>
        <w:br w:type="page"/>
      </w:r>
    </w:p>
    <w:p>
      <w:pPr>
        <w:spacing w:before="240"/>
      </w:pPr>
      <w:r>
        <w:rPr>
          <w:b/>
          <w:color w:val="1B365D"/>
          <w:sz w:val="22"/>
        </w:rPr>
        <w:t>3. Validation et Approbation Institutionnelle</w:t>
        <w:br/>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5035"/>
        <w:gridCol w:w="5035"/>
        <w:gridCol w:w="5035"/>
      </w:tblGrid>
      <w:tr>
        <w:tc>
          <w:tcPr>
            <w:tcW w:type="dxa" w:w="4896"/>
            <w:shd w:fill="F2F5F9"/>
            <w:tcMar>
              <w:top w:w="100" w:type="dxa"/>
              <w:bottom w:w="100" w:type="dxa"/>
              <w:left w:w="100" w:type="dxa"/>
              <w:right w:w="100" w:type="dxa"/>
            </w:tcMar>
          </w:tcPr>
          <w:p>
            <w:pPr>
              <w:jc w:val="center"/>
            </w:pPr>
            <w:r>
              <w:rPr>
                <w:b/>
                <w:color w:val="1B365D"/>
                <w:sz w:val="18"/>
              </w:rPr>
              <w:t>Pour l'Équipe Opérationnelle PCI</w:t>
              <w:br/>
              <w:t>Le Point Focal PCI</w:t>
            </w:r>
          </w:p>
        </w:tc>
        <w:tc>
          <w:tcPr>
            <w:tcW w:type="dxa" w:w="4896"/>
            <w:shd w:fill="F2F5F9"/>
            <w:tcMar>
              <w:top w:w="100" w:type="dxa"/>
              <w:bottom w:w="100" w:type="dxa"/>
              <w:left w:w="100" w:type="dxa"/>
              <w:right w:w="100" w:type="dxa"/>
            </w:tcMar>
          </w:tcPr>
          <w:p>
            <w:pPr>
              <w:jc w:val="center"/>
            </w:pPr>
            <w:r>
              <w:rPr>
                <w:b/>
                <w:color w:val="1B365D"/>
                <w:sz w:val="18"/>
              </w:rPr>
              <w:t>Pour le Comité de Lutte contre les Infections Nosocomiales</w:t>
              <w:br/>
              <w:t>Le Président du CLIN</w:t>
            </w:r>
          </w:p>
        </w:tc>
        <w:tc>
          <w:tcPr>
            <w:tcW w:type="dxa" w:w="4896"/>
            <w:shd w:fill="F2F5F9"/>
            <w:tcMar>
              <w:top w:w="100" w:type="dxa"/>
              <w:bottom w:w="100" w:type="dxa"/>
              <w:left w:w="100" w:type="dxa"/>
              <w:right w:w="100" w:type="dxa"/>
            </w:tcMar>
          </w:tcPr>
          <w:p>
            <w:pPr>
              <w:jc w:val="center"/>
            </w:pPr>
            <w:r>
              <w:rPr>
                <w:b/>
                <w:color w:val="1B365D"/>
                <w:sz w:val="18"/>
              </w:rPr>
              <w:t>Pour la Direction Générale du CHU-MEL</w:t>
              <w:br/>
              <w:t>Le Directeur Général</w:t>
            </w:r>
          </w:p>
        </w:tc>
      </w:tr>
      <w:tr>
        <w:tc>
          <w:tcPr>
            <w:tcW w:type="dxa" w:w="4896"/>
            <w:tcMar>
              <w:top w:w="200" w:type="dxa"/>
              <w:bottom w:w="200" w:type="dxa"/>
              <w:left w:w="100" w:type="dxa"/>
              <w:right w:w="100" w:type="dxa"/>
            </w:tcMar>
          </w:tcPr>
          <w:p>
            <w:pPr>
              <w:jc w:val="center"/>
            </w:pPr>
            <w:r>
              <w:rPr>
                <w:i/>
                <w:sz w:val="17"/>
              </w:rPr>
              <w:br/>
              <w:br/>
              <w:br/>
              <w:t>Date et Signature :</w:t>
              <w:br/>
            </w:r>
          </w:p>
        </w:tc>
        <w:tc>
          <w:tcPr>
            <w:tcW w:type="dxa" w:w="4896"/>
            <w:tcMar>
              <w:top w:w="200" w:type="dxa"/>
              <w:bottom w:w="200" w:type="dxa"/>
              <w:left w:w="100" w:type="dxa"/>
              <w:right w:w="100" w:type="dxa"/>
            </w:tcMar>
          </w:tcPr>
          <w:p>
            <w:pPr>
              <w:jc w:val="center"/>
            </w:pPr>
            <w:r>
              <w:rPr>
                <w:i/>
                <w:sz w:val="17"/>
              </w:rPr>
              <w:br/>
              <w:br/>
              <w:br/>
              <w:t>Date et Signature :</w:t>
              <w:br/>
            </w:r>
          </w:p>
        </w:tc>
        <w:tc>
          <w:tcPr>
            <w:tcW w:type="dxa" w:w="4896"/>
            <w:tcMar>
              <w:top w:w="200" w:type="dxa"/>
              <w:bottom w:w="200" w:type="dxa"/>
              <w:left w:w="100" w:type="dxa"/>
              <w:right w:w="100" w:type="dxa"/>
            </w:tcMar>
          </w:tcPr>
          <w:p>
            <w:pPr>
              <w:jc w:val="center"/>
            </w:pPr>
            <w:r>
              <w:rPr>
                <w:i/>
                <w:sz w:val="17"/>
              </w:rPr>
              <w:br/>
              <w:br/>
              <w:br/>
              <w:t>Date et Signature :</w:t>
              <w:br/>
            </w:r>
          </w:p>
        </w:tc>
      </w:tr>
    </w:tbl>
    <w:sectPr w:rsidR="00FC693F" w:rsidRPr="0006063C" w:rsidSect="00034616">
      <w:pgSz w:w="16834" w:h="11909"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