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guia-do-mediador"/>
    <w:p>
      <w:pPr>
        <w:pStyle w:val="Heading1"/>
      </w:pPr>
      <w:r>
        <w:t xml:space="preserve">Guia do mediador</w:t>
      </w:r>
    </w:p>
    <w:p>
      <w:pPr>
        <w:pStyle w:val="FirstParagraph"/>
      </w:pPr>
      <w:r>
        <w:t xml:space="preserve">Para quem vai entregar a ficha de experimento a uma criança. Leva cinco</w:t>
      </w:r>
      <w:r>
        <w:t xml:space="preserve"> </w:t>
      </w:r>
      <w:r>
        <w:t xml:space="preserve">minutos e é para ler</w:t>
      </w:r>
      <w:r>
        <w:t xml:space="preserve"> </w:t>
      </w:r>
      <w:r>
        <w:rPr>
          <w:b/>
          <w:bCs/>
        </w:rPr>
        <w:t xml:space="preserve">antes</w:t>
      </w:r>
      <w:r>
        <w:t xml:space="preserve">, uma vez só.</w:t>
      </w:r>
    </w:p>
    <w:bookmarkStart w:id="9" w:name="para-que-serve-a-ficha"/>
    <w:p>
      <w:pPr>
        <w:pStyle w:val="Heading2"/>
      </w:pPr>
      <w:r>
        <w:t xml:space="preserve">Para que serve a ficha</w:t>
      </w:r>
    </w:p>
    <w:p>
      <w:pPr>
        <w:pStyle w:val="FirstParagraph"/>
      </w:pPr>
      <w:r>
        <w:t xml:space="preserve">Para aprender a</w:t>
      </w:r>
      <w:r>
        <w:t xml:space="preserve"> </w:t>
      </w:r>
      <w:r>
        <w:rPr>
          <w:b/>
          <w:bCs/>
        </w:rPr>
        <w:t xml:space="preserve">estrutura</w:t>
      </w:r>
      <w:r>
        <w:t xml:space="preserve"> </w:t>
      </w:r>
      <w:r>
        <w:t xml:space="preserve">de um experimento antes de qualquer conteúdo.</w:t>
      </w:r>
      <w:r>
        <w:t xml:space="preserve"> </w:t>
      </w:r>
      <w:r>
        <w:t xml:space="preserve">Não é sobre os quatro corpos, sobre energia nem sobre projeção — é sobre ter</w:t>
      </w:r>
      <w:r>
        <w:t xml:space="preserve"> </w:t>
      </w:r>
      <w:r>
        <w:t xml:space="preserve">uma pergunta, um jeito de fazer, um resultado para olhar e um registro no</w:t>
      </w:r>
      <w:r>
        <w:t xml:space="preserve"> </w:t>
      </w:r>
      <w:r>
        <w:t xml:space="preserve">papel.</w:t>
      </w:r>
    </w:p>
    <w:p>
      <w:pPr>
        <w:pStyle w:val="BodyText"/>
      </w:pPr>
      <w:r>
        <w:t xml:space="preserve">Antônio explica essa diferença no primeiro capítulo do livro: experiência é o</w:t>
      </w:r>
      <w:r>
        <w:t xml:space="preserve"> </w:t>
      </w:r>
      <w:r>
        <w:t xml:space="preserve">que a gente vive; experimento é quando se testa uma coisa para descobrir qual</w:t>
      </w:r>
      <w:r>
        <w:t xml:space="preserve"> </w:t>
      </w:r>
      <w:r>
        <w:t xml:space="preserve">resultado ela terá. A ficha é o formato em que a Maria organiza tudo no</w:t>
      </w:r>
      <w:r>
        <w:t xml:space="preserve"> </w:t>
      </w:r>
      <w:r>
        <w:t xml:space="preserve">capítulo</w:t>
      </w:r>
      <w:r>
        <w:t xml:space="preserve"> </w:t>
      </w:r>
      <w:r>
        <w:rPr>
          <w:i/>
          <w:iCs/>
        </w:rPr>
        <w:t xml:space="preserve">Mão na massa</w:t>
      </w:r>
      <w:r>
        <w:t xml:space="preserve">.</w:t>
      </w:r>
    </w:p>
    <w:p>
      <w:pPr>
        <w:pStyle w:val="BodyText"/>
      </w:pPr>
      <w:r>
        <w:t xml:space="preserve">Depois de aprendida, a estrutura serve para qualquer curiosidade da criança,</w:t>
      </w:r>
      <w:r>
        <w:t xml:space="preserve"> </w:t>
      </w:r>
      <w:r>
        <w:t xml:space="preserve">inclusive as que não têm nada a ver com o livro. É esse o ponto.</w:t>
      </w:r>
    </w:p>
    <w:bookmarkEnd w:id="9"/>
    <w:bookmarkStart w:id="10" w:name="como-entregar"/>
    <w:p>
      <w:pPr>
        <w:pStyle w:val="Heading2"/>
      </w:pPr>
      <w:r>
        <w:t xml:space="preserve">Como entregar</w:t>
      </w:r>
    </w:p>
    <w:p>
      <w:pPr>
        <w:pStyle w:val="FirstParagraph"/>
      </w:pPr>
      <w:r>
        <w:t xml:space="preserve">Imprima a ficha em branco, em frente e verso, e faça várias cópias — uma por</w:t>
      </w:r>
      <w:r>
        <w:t xml:space="preserve"> </w:t>
      </w:r>
      <w:r>
        <w:t xml:space="preserve">experimento.</w:t>
      </w:r>
    </w:p>
    <w:p>
      <w:pPr>
        <w:pStyle w:val="BodyText"/>
      </w:pPr>
      <w:r>
        <w:t xml:space="preserve">Entregue e espere.</w:t>
      </w:r>
      <w:r>
        <w:t xml:space="preserve"> </w:t>
      </w:r>
      <w:r>
        <w:rPr>
          <w:b/>
          <w:bCs/>
        </w:rPr>
        <w:t xml:space="preserve">Não explique os quatro campos antes de ela tentar.</w:t>
      </w:r>
      <w:r>
        <w:t xml:space="preserve"> </w:t>
      </w:r>
      <w:r>
        <w:t xml:space="preserve">Os</w:t>
      </w:r>
      <w:r>
        <w:t xml:space="preserve"> </w:t>
      </w:r>
      <w:r>
        <w:t xml:space="preserve">campos já se explicam: cada um é uma pergunta escrita na folha.</w:t>
      </w:r>
    </w:p>
    <w:p>
      <w:pPr>
        <w:pStyle w:val="BodyText"/>
      </w:pPr>
      <w:r>
        <w:t xml:space="preserve">Se ela perguntar o que é para fazer, leia a pergunta do campo em voz alta e</w:t>
      </w:r>
      <w:r>
        <w:t xml:space="preserve"> </w:t>
      </w:r>
      <w:r>
        <w:t xml:space="preserve">pare por aí.</w:t>
      </w:r>
    </w:p>
    <w:bookmarkEnd w:id="10"/>
    <w:bookmarkStart w:id="11" w:name="as-duas-regras-que-valem-para-você"/>
    <w:p>
      <w:pPr>
        <w:pStyle w:val="Heading2"/>
      </w:pPr>
      <w:r>
        <w:t xml:space="preserve">As duas regras que valem para você</w:t>
      </w:r>
    </w:p>
    <w:p>
      <w:pPr>
        <w:pStyle w:val="FirstParagraph"/>
      </w:pPr>
      <w:r>
        <w:rPr>
          <w:b/>
          <w:bCs/>
        </w:rPr>
        <w:t xml:space="preserve">1. Não preencha o campo Objetivo pela criança.</w:t>
      </w:r>
    </w:p>
    <w:p>
      <w:pPr>
        <w:pStyle w:val="BodyText"/>
      </w:pPr>
      <w:r>
        <w:t xml:space="preserve">É a tentação principal, porque a pergunta dela vai sair torta. Deixe torta.</w:t>
      </w:r>
      <w:r>
        <w:t xml:space="preserve"> </w:t>
      </w:r>
      <w:r>
        <w:t xml:space="preserve">Uma pergunta torta que ela mesma escreveu ainda funciona como experimento;</w:t>
      </w:r>
      <w:r>
        <w:t xml:space="preserve"> </w:t>
      </w:r>
      <w:r>
        <w:t xml:space="preserve">uma pergunta perfeita que você ditou vira tarefa escolar, e aí ela está</w:t>
      </w:r>
      <w:r>
        <w:t xml:space="preserve"> </w:t>
      </w:r>
      <w:r>
        <w:t xml:space="preserve">fazendo o</w:t>
      </w:r>
      <w:r>
        <w:t xml:space="preserve"> </w:t>
      </w:r>
      <w:r>
        <w:rPr>
          <w:i/>
          <w:iCs/>
        </w:rPr>
        <w:t xml:space="preserve">seu</w:t>
      </w:r>
      <w:r>
        <w:t xml:space="preserve"> </w:t>
      </w:r>
      <w:r>
        <w:t xml:space="preserve">experimento.</w:t>
      </w:r>
    </w:p>
    <w:p>
      <w:pPr>
        <w:pStyle w:val="BodyText"/>
      </w:pPr>
      <w:r>
        <w:t xml:space="preserve">Se ela travar de vez, a única ajuda é sobre a</w:t>
      </w:r>
      <w:r>
        <w:t xml:space="preserve"> </w:t>
      </w:r>
      <w:r>
        <w:rPr>
          <w:b/>
          <w:bCs/>
        </w:rPr>
        <w:t xml:space="preserve">forma</w:t>
      </w:r>
      <w:r>
        <w:t xml:space="preserve">, nunca sobre o</w:t>
      </w:r>
      <w:r>
        <w:t xml:space="preserve"> </w:t>
      </w:r>
      <w:r>
        <w:t xml:space="preserve">assunto:</w:t>
      </w:r>
    </w:p>
    <w:p>
      <w:pPr>
        <w:pStyle w:val="BodyText"/>
      </w:pPr>
      <w:r>
        <w:rPr>
          <w:i/>
          <w:iCs/>
        </w:rPr>
        <w:t xml:space="preserve">“Isso dá pra descobrir fazendo alguma coisa, ou só perguntando pra alguém?”</w:t>
      </w:r>
    </w:p>
    <w:p>
      <w:pPr>
        <w:pStyle w:val="BodyText"/>
      </w:pPr>
      <w:r>
        <w:rPr>
          <w:b/>
          <w:bCs/>
        </w:rPr>
        <w:t xml:space="preserve">2. Não use a ficha preenchida como gabarito.</w:t>
      </w:r>
    </w:p>
    <w:p>
      <w:pPr>
        <w:pStyle w:val="BodyText"/>
      </w:pPr>
      <w:r>
        <w:t xml:space="preserve">A ficha preenchida mostra como se escreve, não o que se deve sentir nem o que</w:t>
      </w:r>
      <w:r>
        <w:t xml:space="preserve"> </w:t>
      </w:r>
      <w:r>
        <w:t xml:space="preserve">se deve descobrir. Se a criança começar a copiar os resultados da Maria,</w:t>
      </w:r>
      <w:r>
        <w:t xml:space="preserve"> </w:t>
      </w:r>
      <w:r>
        <w:t xml:space="preserve">guarde o exemplo e volte para a ficha em branco.</w:t>
      </w:r>
    </w:p>
    <w:bookmarkEnd w:id="11"/>
    <w:bookmarkStart w:id="12" w:name="ao-terminar"/>
    <w:p>
      <w:pPr>
        <w:pStyle w:val="Heading2"/>
      </w:pPr>
      <w:r>
        <w:t xml:space="preserve">Ao terminar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Numere a ficha</w:t>
      </w:r>
      <w:r>
        <w:t xml:space="preserve"> </w:t>
      </w:r>
      <w:r>
        <w:t xml:space="preserve">e guarde na mesma pasta que as outras. A capa da pasta</w:t>
      </w:r>
      <w:r>
        <w:t xml:space="preserve"> </w:t>
      </w:r>
      <w:r>
        <w:t xml:space="preserve">tem um índice para isso.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Guarde também as fichas em que não aconteceu nada.</w:t>
      </w:r>
      <w:r>
        <w:t xml:space="preserve"> </w:t>
      </w:r>
      <w:r>
        <w:t xml:space="preserve">Essas contam igual.</w:t>
      </w:r>
      <w:r>
        <w:t xml:space="preserve"> </w:t>
      </w:r>
      <w:r>
        <w:t xml:space="preserve">A Maria não sente nada nas primeiras tentativas, anota isso mesmo assim, e</w:t>
      </w:r>
      <w:r>
        <w:t xml:space="preserve"> </w:t>
      </w:r>
      <w:r>
        <w:t xml:space="preserve">é justamente aí que ela descobre que precisa repetir mais vezes.</w:t>
      </w:r>
    </w:p>
    <w:p>
      <w:pPr>
        <w:pStyle w:val="Compact"/>
        <w:numPr>
          <w:ilvl w:val="0"/>
          <w:numId w:val="1001"/>
        </w:numPr>
      </w:pPr>
      <w:r>
        <w:t xml:space="preserve">Não corrija a ortografia, não peça para passar a limpo, não dê nota.</w:t>
      </w:r>
    </w:p>
    <w:p>
      <w:pPr>
        <w:pStyle w:val="Compact"/>
        <w:numPr>
          <w:ilvl w:val="0"/>
          <w:numId w:val="1001"/>
        </w:numPr>
      </w:pPr>
      <w:r>
        <w:t xml:space="preserve">Não peça para ela mostrar a ficha a ninguém, nem para explicar o que</w:t>
      </w:r>
      <w:r>
        <w:t xml:space="preserve"> </w:t>
      </w:r>
      <w:r>
        <w:t xml:space="preserve">descobriu a quem não perguntou.</w:t>
      </w:r>
    </w:p>
    <w:bookmarkEnd w:id="12"/>
    <w:bookmarkStart w:id="13" w:name="o-que-esta-ficha-não-é"/>
    <w:p>
      <w:pPr>
        <w:pStyle w:val="Heading2"/>
      </w:pPr>
      <w:r>
        <w:t xml:space="preserve">O que esta ficha não é</w:t>
      </w:r>
    </w:p>
    <w:p>
      <w:pPr>
        <w:pStyle w:val="FirstParagraph"/>
      </w:pPr>
      <w:r>
        <w:t xml:space="preserve">Não é avaliação. Não há resposta certa, não há campo para dizer se deu certo,</w:t>
      </w:r>
      <w:r>
        <w:t xml:space="preserve"> </w:t>
      </w:r>
      <w:r>
        <w:t xml:space="preserve">e não existe experimento que tenha falhado — só experimento cujo resultado foi</w:t>
      </w:r>
      <w:r>
        <w:t xml:space="preserve"> </w:t>
      </w:r>
      <w:r>
        <w:t xml:space="preserve">“nada”</w:t>
      </w:r>
      <w:r>
        <w:t xml:space="preserve">.</w:t>
      </w:r>
    </w:p>
    <w:p>
      <w:pPr>
        <w:pStyle w:val="BodyText"/>
      </w:pPr>
      <w:r>
        <w:t xml:space="preserve">Não é um pedido de adesão. O livro fecha dizendo para não acreditar em nada,</w:t>
      </w:r>
      <w:r>
        <w:t xml:space="preserve"> </w:t>
      </w:r>
      <w:r>
        <w:t xml:space="preserve">nem nele próprio. A ficha é a ferramenta que torna isso possível na prática:</w:t>
      </w:r>
      <w:r>
        <w:t xml:space="preserve"> </w:t>
      </w:r>
      <w:r>
        <w:t xml:space="preserve">com ela a criança pode conferir por conta própria, inclusive conferir e</w:t>
      </w:r>
      <w:r>
        <w:t xml:space="preserve"> </w:t>
      </w:r>
      <w:r>
        <w:t xml:space="preserve">discordar.</w:t>
      </w:r>
    </w:p>
    <w:bookmarkEnd w:id="13"/>
    <w:bookmarkStart w:id="14" w:name="antes-de-qualquer-atividade-com-energia"/>
    <w:p>
      <w:pPr>
        <w:pStyle w:val="Heading2"/>
      </w:pPr>
      <w:r>
        <w:t xml:space="preserve">Antes de qualquer atividade com energia</w:t>
      </w:r>
    </w:p>
    <w:p>
      <w:pPr>
        <w:pStyle w:val="FirstParagraph"/>
      </w:pPr>
      <w:r>
        <w:t xml:space="preserve">Se o experimento que a criança escolher for de bioenergia — sentir as energias,</w:t>
      </w:r>
      <w:r>
        <w:t xml:space="preserve"> </w:t>
      </w:r>
      <w:r>
        <w:t xml:space="preserve">estado vibracional, bola entre as mãos —, leia antes a ficha nº 20,</w:t>
      </w:r>
      <w:r>
        <w:t xml:space="preserve"> </w:t>
      </w:r>
      <w:r>
        <w:rPr>
          <w:i/>
          <w:iCs/>
        </w:rPr>
        <w:t xml:space="preserve">Conduzir sem induzir</w:t>
      </w:r>
      <w:r>
        <w:t xml:space="preserve">. Ela trata do que fazer e do que não perguntar nessas</w:t>
      </w:r>
      <w:r>
        <w:t xml:space="preserve"> </w:t>
      </w:r>
      <w:r>
        <w:t xml:space="preserve">atividades, e do que fazer se a criança relatar algo que a assuste.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