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-bola-entre-as-mãos-folha-de-registro"/>
    <w:p>
      <w:pPr>
        <w:pStyle w:val="Heading1"/>
      </w:pPr>
      <w:r>
        <w:t xml:space="preserve">A bola entre as mãos — folha de registro</w:t>
      </w:r>
    </w:p>
    <w:p>
      <w:pPr>
        <w:pStyle w:val="FirstParagraph"/>
      </w:pPr>
      <w:r>
        <w:t xml:space="preserve">Uma linha por dia. Se num dia não perceber nada, escreva</w:t>
      </w:r>
      <w:r>
        <w:t xml:space="preserve"> </w:t>
      </w:r>
      <w:r>
        <w:rPr>
          <w:b/>
          <w:bCs/>
        </w:rPr>
        <w:t xml:space="preserve">“nada”</w:t>
      </w:r>
      <w:r>
        <w:t xml:space="preserve"> </w:t>
      </w:r>
      <w:r>
        <w:t xml:space="preserve">— a linha</w:t>
      </w:r>
      <w:r>
        <w:t xml:space="preserve"> </w:t>
      </w:r>
      <w:r>
        <w:t xml:space="preserve">continua valendo.</w:t>
      </w:r>
    </w:p>
    <w:p>
      <w:pPr>
        <w:pStyle w:val="BodyText"/>
      </w:pPr>
      <w:r>
        <w:t xml:space="preserve">Na última coluna, marque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no dia em que você fizer o teste de comparação:</w:t>
      </w:r>
      <w:r>
        <w:t xml:space="preserve"> </w:t>
      </w:r>
      <w:r>
        <w:t xml:space="preserve">aproximar as mãos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mandar energia nenhuma.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00"/>
        <w:gridCol w:w="1100"/>
        <w:gridCol w:w="2500"/>
        <w:gridCol w:w="700"/>
      </w:tblGrid>
      <w:tr>
        <w:tc>
          <w:tcPr>
            <w:tcW w:w="700" w:type="pct"/>
          </w:tcPr>
          <w:p>
            <w:r>
              <w:rPr>
                <w:b/>
              </w:rPr>
              <w:t xml:space="preserve">dia</w:t>
            </w:r>
          </w:p>
        </w:tc>
        <w:tc>
          <w:tcPr>
            <w:tcW w:w="1100" w:type="pct"/>
          </w:tcPr>
          <w:p>
            <w:r>
              <w:rPr>
                <w:b/>
              </w:rPr>
              <w:t xml:space="preserve">distância em que percebi</w:t>
            </w:r>
          </w:p>
        </w:tc>
        <w:tc>
          <w:tcPr>
            <w:tcW w:w="2500" w:type="pct"/>
          </w:tcPr>
          <w:p>
            <w:r>
              <w:rPr>
                <w:b/>
              </w:rPr>
              <w:t xml:space="preserve">o que percebi</w:t>
            </w:r>
          </w:p>
        </w:tc>
        <w:tc>
          <w:tcPr>
            <w:tcW w:w="700" w:type="pct"/>
          </w:tcPr>
          <w:p>
            <w:r>
              <w:rPr>
                <w:b/>
              </w:rPr>
              <w:t xml:space="preserve">C</w:t>
            </w:r>
          </w:p>
        </w:tc>
      </w:tr>
      <w:tr>
        <w:trPr>
          <w:trHeight w:val="454"/>
        </w:trPr>
        <w:tc>
          <w:tcPr>
            <w:tcW w:w="700" w:type="pct"/>
          </w:tcPr>
          <w:p/>
        </w:tc>
        <w:tc>
          <w:tcPr>
            <w:tcW w:w="1100" w:type="pct"/>
          </w:tcPr>
          <w:p/>
        </w:tc>
        <w:tc>
          <w:tcPr>
            <w:tcW w:w="2500" w:type="pct"/>
          </w:tcPr>
          <w:p/>
        </w:tc>
        <w:tc>
          <w:tcPr>
            <w:tcW w:w="700" w:type="pct"/>
          </w:tcPr>
          <w:p/>
        </w:tc>
      </w:tr>
      <w:tr>
        <w:trPr>
          <w:trHeight w:val="454"/>
        </w:trPr>
        <w:tc>
          <w:tcPr>
            <w:tcW w:w="700" w:type="pct"/>
          </w:tcPr>
          <w:p/>
        </w:tc>
        <w:tc>
          <w:tcPr>
            <w:tcW w:w="1100" w:type="pct"/>
          </w:tcPr>
          <w:p/>
        </w:tc>
        <w:tc>
          <w:tcPr>
            <w:tcW w:w="2500" w:type="pct"/>
          </w:tcPr>
          <w:p/>
        </w:tc>
        <w:tc>
          <w:tcPr>
            <w:tcW w:w="700" w:type="pct"/>
          </w:tcPr>
          <w:p/>
        </w:tc>
      </w:tr>
      <w:tr>
        <w:trPr>
          <w:trHeight w:val="454"/>
        </w:trPr>
        <w:tc>
          <w:tcPr>
            <w:tcW w:w="700" w:type="pct"/>
          </w:tcPr>
          <w:p/>
        </w:tc>
        <w:tc>
          <w:tcPr>
            <w:tcW w:w="1100" w:type="pct"/>
          </w:tcPr>
          <w:p/>
        </w:tc>
        <w:tc>
          <w:tcPr>
            <w:tcW w:w="2500" w:type="pct"/>
          </w:tcPr>
          <w:p/>
        </w:tc>
        <w:tc>
          <w:tcPr>
            <w:tcW w:w="700" w:type="pct"/>
          </w:tcPr>
          <w:p/>
        </w:tc>
      </w:tr>
      <w:tr>
        <w:trPr>
          <w:trHeight w:val="454"/>
        </w:trPr>
        <w:tc>
          <w:tcPr>
            <w:tcW w:w="700" w:type="pct"/>
          </w:tcPr>
          <w:p/>
        </w:tc>
        <w:tc>
          <w:tcPr>
            <w:tcW w:w="1100" w:type="pct"/>
          </w:tcPr>
          <w:p/>
        </w:tc>
        <w:tc>
          <w:tcPr>
            <w:tcW w:w="2500" w:type="pct"/>
          </w:tcPr>
          <w:p/>
        </w:tc>
        <w:tc>
          <w:tcPr>
            <w:tcW w:w="700" w:type="pct"/>
          </w:tcPr>
          <w:p/>
        </w:tc>
      </w:tr>
      <w:tr>
        <w:trPr>
          <w:trHeight w:val="454"/>
        </w:trPr>
        <w:tc>
          <w:tcPr>
            <w:tcW w:w="700" w:type="pct"/>
          </w:tcPr>
          <w:p/>
        </w:tc>
        <w:tc>
          <w:tcPr>
            <w:tcW w:w="1100" w:type="pct"/>
          </w:tcPr>
          <w:p/>
        </w:tc>
        <w:tc>
          <w:tcPr>
            <w:tcW w:w="2500" w:type="pct"/>
          </w:tcPr>
          <w:p/>
        </w:tc>
        <w:tc>
          <w:tcPr>
            <w:tcW w:w="700" w:type="pct"/>
          </w:tcPr>
          <w:p/>
        </w:tc>
      </w:tr>
      <w:tr>
        <w:trPr>
          <w:trHeight w:val="454"/>
        </w:trPr>
        <w:tc>
          <w:tcPr>
            <w:tcW w:w="700" w:type="pct"/>
          </w:tcPr>
          <w:p/>
        </w:tc>
        <w:tc>
          <w:tcPr>
            <w:tcW w:w="1100" w:type="pct"/>
          </w:tcPr>
          <w:p/>
        </w:tc>
        <w:tc>
          <w:tcPr>
            <w:tcW w:w="2500" w:type="pct"/>
          </w:tcPr>
          <w:p/>
        </w:tc>
        <w:tc>
          <w:tcPr>
            <w:tcW w:w="700" w:type="pct"/>
          </w:tcPr>
          <w:p/>
        </w:tc>
      </w:tr>
    </w:tbl>
    <w:p/>
    <w:bookmarkStart w:id="9" w:name="no-quinto-dia"/>
    <w:p>
      <w:pPr>
        <w:pStyle w:val="Heading2"/>
      </w:pPr>
      <w:r>
        <w:t xml:space="preserve">No quinto dia</w:t>
      </w:r>
    </w:p>
    <w:p>
      <w:pPr>
        <w:pStyle w:val="FirstParagraph"/>
      </w:pPr>
      <w:r>
        <w:t xml:space="preserve">Os números dos cinco dias são parecidos ou muito diferentes?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Você percebe mais aproximando ou afastando?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No dia em que você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mandou energia, sentiu a mesma coisa?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