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aderno-do-ainda-não-sei"/>
    <w:p>
      <w:pPr>
        <w:pStyle w:val="Heading1"/>
      </w:pPr>
      <w:r>
        <w:t xml:space="preserve">Caderno do</w:t>
      </w:r>
      <w:r>
        <w:t xml:space="preserve"> </w:t>
      </w:r>
      <w:r>
        <w:t xml:space="preserve">“ainda não sei”</w:t>
      </w:r>
    </w:p>
    <w:p>
      <w:pPr>
        <w:pStyle w:val="FirstParagraph"/>
      </w:pPr>
      <w:r>
        <w:t xml:space="preserve">A última página de</w:t>
      </w:r>
      <w:r>
        <w:t xml:space="preserve"> </w:t>
      </w:r>
      <w:r>
        <w:rPr>
          <w:i/>
          <w:iCs/>
        </w:rPr>
        <w:t xml:space="preserve">Maria e o Holossoma</w:t>
      </w:r>
      <w:r>
        <w:t xml:space="preserve"> </w:t>
      </w:r>
      <w:r>
        <w:t xml:space="preserve">diz o seguinte, em letras grandes:</w:t>
      </w:r>
    </w:p>
    <w:p>
      <w:pPr>
        <w:pStyle w:val="BlockText"/>
      </w:pPr>
      <w:r>
        <w:t xml:space="preserve">Não acredite em nada, nem mesmo nas informações expostas neste livro.</w:t>
      </w:r>
      <w:r>
        <w:t xml:space="preserve"> </w:t>
      </w:r>
      <w:r>
        <w:t xml:space="preserve">Experimente. Tenha as próprias experiências.</w:t>
      </w:r>
    </w:p>
    <w:p>
      <w:pPr>
        <w:pStyle w:val="FirstParagraph"/>
      </w:pPr>
      <w:r>
        <w:t xml:space="preserve">Este caderno é o lugar de levar esse pedido a sério.</w:t>
      </w:r>
    </w:p>
    <w:p>
      <w:pPr>
        <w:pStyle w:val="BodyText"/>
      </w:pPr>
      <w:r>
        <w:t xml:space="preserve">Antônio chama o senso crítico de superpoder e explica que ele serve para</w:t>
      </w:r>
      <w:r>
        <w:t xml:space="preserve"> </w:t>
      </w:r>
      <w:r>
        <w:rPr>
          <w:i/>
          <w:iCs/>
        </w:rPr>
        <w:t xml:space="preserve">“saber se alguma informação faz sentido ou não para a gente”</w:t>
      </w:r>
      <w:r>
        <w:t xml:space="preserve"> </w:t>
      </w:r>
      <w:r>
        <w:t xml:space="preserve">— em vez de</w:t>
      </w:r>
      <w:r>
        <w:t xml:space="preserve"> </w:t>
      </w:r>
      <w:r>
        <w:t xml:space="preserve">concordar na hora com o que os outros falam.</w:t>
      </w:r>
    </w:p>
    <w:bookmarkStart w:id="9" w:name="as-três-colunas"/>
    <w:p>
      <w:pPr>
        <w:pStyle w:val="Heading2"/>
      </w:pPr>
      <w:r>
        <w:t xml:space="preserve">As três colunas</w:t>
      </w:r>
    </w:p>
    <w:p>
      <w:pPr>
        <w:pStyle w:val="FirstParagraph"/>
      </w:pPr>
      <w:r>
        <w:t xml:space="preserve">Toda vez que alguém te disser alguma coisa como se fosse verdade, escreva a</w:t>
      </w:r>
      <w:r>
        <w:t xml:space="preserve"> </w:t>
      </w:r>
      <w:r>
        <w:t xml:space="preserve">frase numa das três colunas da folha.</w:t>
      </w:r>
    </w:p>
    <w:p>
      <w:pPr>
        <w:pStyle w:val="BodyText"/>
      </w:pPr>
      <w:r>
        <w:rPr>
          <w:b/>
          <w:bCs/>
        </w:rPr>
        <w:t xml:space="preserve">JÁ TESTEI</w:t>
      </w:r>
      <w:r>
        <w:t xml:space="preserve"> </w:t>
      </w:r>
      <w:r>
        <w:t xml:space="preserve">— você mesmo fez, viu ou mediu. Anote ao lado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você</w:t>
      </w:r>
      <w:r>
        <w:t xml:space="preserve"> </w:t>
      </w:r>
      <w:r>
        <w:t xml:space="preserve">testou.</w:t>
      </w:r>
    </w:p>
    <w:p>
      <w:pPr>
        <w:pStyle w:val="BodyText"/>
      </w:pPr>
      <w:r>
        <w:rPr>
          <w:b/>
          <w:bCs/>
        </w:rPr>
        <w:t xml:space="preserve">DÁ PRA TESTAR</w:t>
      </w:r>
      <w:r>
        <w:t xml:space="preserve"> </w:t>
      </w:r>
      <w:r>
        <w:t xml:space="preserve">— dá para descobrir, você só ainda não descobriu. Anote ao</w:t>
      </w:r>
      <w:r>
        <w:t xml:space="preserve"> </w:t>
      </w:r>
      <w:r>
        <w:t xml:space="preserve">lado</w:t>
      </w:r>
      <w:r>
        <w:t xml:space="preserve"> </w:t>
      </w:r>
      <w:r>
        <w:rPr>
          <w:b/>
          <w:bCs/>
        </w:rPr>
        <w:t xml:space="preserve">como você testaria</w:t>
      </w:r>
      <w:r>
        <w:t xml:space="preserve">. Esta é a melhor coluna das três: cada linha dela é</w:t>
      </w:r>
      <w:r>
        <w:t xml:space="preserve"> </w:t>
      </w:r>
      <w:r>
        <w:t xml:space="preserve">um experimento esperando para acontecer.</w:t>
      </w:r>
    </w:p>
    <w:p>
      <w:pPr>
        <w:pStyle w:val="BodyText"/>
      </w:pPr>
      <w:r>
        <w:rPr>
          <w:b/>
          <w:bCs/>
        </w:rPr>
        <w:t xml:space="preserve">AINDA NÃO DÁ PRA TESTAR</w:t>
      </w:r>
      <w:r>
        <w:t xml:space="preserve"> </w:t>
      </w:r>
      <w:r>
        <w:t xml:space="preserve">— não é mentira nem verdade. É uma coisa que você</w:t>
      </w:r>
      <w:r>
        <w:t xml:space="preserve"> </w:t>
      </w:r>
      <w:r>
        <w:t xml:space="preserve">não tem como conferir agora.</w:t>
      </w:r>
    </w:p>
    <w:bookmarkEnd w:id="9"/>
    <w:bookmarkStart w:id="10" w:name="de-onde-tirar-as-frases"/>
    <w:p>
      <w:pPr>
        <w:pStyle w:val="Heading2"/>
      </w:pPr>
      <w:r>
        <w:t xml:space="preserve">De onde tirar as frases</w:t>
      </w:r>
    </w:p>
    <w:p>
      <w:pPr>
        <w:pStyle w:val="FirstParagraph"/>
      </w:pPr>
      <w:r>
        <w:t xml:space="preserve">De todo lugar: dos amigos no recreio, de vídeo na internet, de propaganda, de</w:t>
      </w:r>
      <w:r>
        <w:t xml:space="preserve"> </w:t>
      </w:r>
      <w:r>
        <w:t xml:space="preserve">um adulto, de um livro.</w:t>
      </w:r>
    </w:p>
    <w:p>
      <w:pPr>
        <w:pStyle w:val="BodyText"/>
      </w:pPr>
      <w:r>
        <w:rPr>
          <w:b/>
          <w:bCs/>
        </w:rPr>
        <w:t xml:space="preserve">E deste livro também.</w:t>
      </w:r>
      <w:r>
        <w:t xml:space="preserve"> </w:t>
      </w:r>
      <w:r>
        <w:rPr>
          <w:i/>
          <w:iCs/>
        </w:rPr>
        <w:t xml:space="preserve">“A gente tem quatro corpos”</w:t>
      </w:r>
      <w:r>
        <w:t xml:space="preserve">,</w:t>
      </w:r>
      <w:r>
        <w:t xml:space="preserve"> </w:t>
      </w:r>
      <w:r>
        <w:rPr>
          <w:i/>
          <w:iCs/>
        </w:rPr>
        <w:t xml:space="preserve">“existe amparador”</w:t>
      </w:r>
      <w:r>
        <w:t xml:space="preserve">,</w:t>
      </w:r>
      <w:r>
        <w:t xml:space="preserve"> </w:t>
      </w:r>
      <w:r>
        <w:rPr>
          <w:i/>
          <w:iCs/>
        </w:rPr>
        <w:t xml:space="preserve">“todo mundo sente o EV”</w:t>
      </w:r>
      <w:r>
        <w:t xml:space="preserve"> </w:t>
      </w:r>
      <w:r>
        <w:t xml:space="preserve">— em que coluna cada uma dessas frases entra, para</w:t>
      </w:r>
      <w:r>
        <w:t xml:space="preserve"> </w:t>
      </w:r>
      <w:r>
        <w:t xml:space="preserve">você, hoje?</w:t>
      </w:r>
    </w:p>
    <w:bookmarkEnd w:id="10"/>
    <w:bookmarkStart w:id="11" w:name="como-preencher"/>
    <w:p>
      <w:pPr>
        <w:pStyle w:val="Heading2"/>
      </w:pPr>
      <w:r>
        <w:t xml:space="preserve">Como preencher</w:t>
      </w:r>
    </w:p>
    <w:p>
      <w:pPr>
        <w:pStyle w:val="FirstParagraph"/>
      </w:pPr>
      <w:r>
        <w:t xml:space="preserve">Escreva a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de cada linha.</w:t>
      </w:r>
    </w:p>
    <w:p>
      <w:pPr>
        <w:pStyle w:val="BodyText"/>
      </w:pPr>
      <w:r>
        <w:t xml:space="preserve">As linhas podem</w:t>
      </w:r>
      <w:r>
        <w:t xml:space="preserve"> </w:t>
      </w:r>
      <w:r>
        <w:rPr>
          <w:b/>
          <w:bCs/>
        </w:rPr>
        <w:t xml:space="preserve">mudar de coluna</w:t>
      </w:r>
      <w:r>
        <w:t xml:space="preserve"> </w:t>
      </w:r>
      <w:r>
        <w:t xml:space="preserve">com o tempo. Quando isso acontecer, não</w:t>
      </w:r>
      <w:r>
        <w:t xml:space="preserve"> </w:t>
      </w:r>
      <w:r>
        <w:t xml:space="preserve">apague: risque, mova para a coluna nova, e anote o que fez você mudar de ideia.</w:t>
      </w:r>
    </w:p>
    <w:p>
      <w:pPr>
        <w:pStyle w:val="BodyText"/>
      </w:pPr>
      <w:r>
        <w:t xml:space="preserve">Uma linha que atravessou de coluna é a melhor página do caderno inteiro.</w:t>
      </w:r>
    </w:p>
    <w:bookmarkEnd w:id="11"/>
    <w:bookmarkStart w:id="12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t xml:space="preserve">Ter coisas na terceira coluna não é fracasso.</w:t>
      </w:r>
      <w:r>
        <w:t xml:space="preserve"> </w:t>
      </w:r>
      <w:r>
        <w:t xml:space="preserve">“Ainda não sei”</w:t>
      </w:r>
      <w:r>
        <w:t xml:space="preserve"> </w:t>
      </w:r>
      <w:r>
        <w:t xml:space="preserve">é uma resposta</w:t>
      </w:r>
      <w:r>
        <w:t xml:space="preserve"> </w:t>
      </w:r>
      <w:r>
        <w:t xml:space="preserve">honesta, e é muito melhor do que fingir certeza para qualquer um dos dois</w:t>
      </w:r>
      <w:r>
        <w:t xml:space="preserve"> </w:t>
      </w:r>
      <w:r>
        <w:t xml:space="preserve">lados.</w:t>
      </w:r>
    </w:p>
    <w:p>
      <w:pPr>
        <w:pStyle w:val="BodyText"/>
      </w:pPr>
      <w:r>
        <w:t xml:space="preserve">E repare no que está acontecendo: o livro pediu para você não acreditar nele.</w:t>
      </w:r>
      <w:r>
        <w:t xml:space="preserve"> </w:t>
      </w:r>
      <w:r>
        <w:t xml:space="preserve">Um livro que pede isso está te tratando como alguém capaz de descobrir sozinho.</w:t>
      </w:r>
    </w:p>
    <w:bookmarkEnd w:id="12"/>
    <w:bookmarkStart w:id="14" w:name="depois"/>
    <w:p>
      <w:pPr>
        <w:pStyle w:val="Heading2"/>
      </w:pPr>
      <w:r>
        <w:t xml:space="preserve">Depois</w:t>
      </w:r>
    </w:p>
    <w:p>
      <w:pPr>
        <w:pStyle w:val="FirstParagraph"/>
      </w:pPr>
      <w:r>
        <w:t xml:space="preserve">Uma vez por mês, releia o caderno inteiro e veja se alguma linha da coluna do</w:t>
      </w:r>
      <w:r>
        <w:t xml:space="preserve"> </w:t>
      </w:r>
      <w:r>
        <w:t xml:space="preserve">meio já pode virar um experimento de verdade — com a</w:t>
      </w:r>
      <w:r>
        <w:t xml:space="preserve"> </w:t>
      </w:r>
      <w:hyperlink r:id="rId13">
        <w:r>
          <w:rPr>
            <w:rStyle w:val="Hyperlink"/>
          </w:rPr>
          <w:t xml:space="preserve">ficha de experimento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 senso crítico como</w:t>
      </w:r>
      <w:r>
        <w:t xml:space="preserve"> </w:t>
      </w:r>
      <w:r>
        <w:t xml:space="preserve">“super poder”</w:t>
      </w:r>
      <w:r>
        <w:t xml:space="preserve"> </w:t>
      </w:r>
      <w:r>
        <w:t xml:space="preserve">e o princípio da descrença</w:t>
      </w:r>
      <w:r>
        <w:t xml:space="preserve"> </w:t>
      </w:r>
      <w:r>
        <w:t xml:space="preserve">estão no capítulo</w:t>
      </w:r>
      <w:r>
        <w:t xml:space="preserve"> </w:t>
      </w:r>
      <w:r>
        <w:rPr>
          <w:i/>
          <w:iCs/>
        </w:rPr>
        <w:t xml:space="preserve">Início da jornada interdimensional</w:t>
      </w:r>
      <w:r>
        <w:t xml:space="preserve">. A frase citada no</w:t>
      </w:r>
      <w:r>
        <w:t xml:space="preserve"> </w:t>
      </w:r>
      <w:r>
        <w:t xml:space="preserve">começo é a última página do livro.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minha-ficha-de-experimen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minha-ficha-de-experimen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