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o-que-muda-e-o-que-fica-guia-do-mediador"/>
    <w:p>
      <w:pPr>
        <w:pStyle w:val="Heading1"/>
      </w:pPr>
      <w:r>
        <w:t xml:space="preserve">O que muda e o que fica — guia do mediador</w:t>
      </w:r>
    </w:p>
    <w:p>
      <w:pPr>
        <w:pStyle w:val="FirstParagraph"/>
      </w:pPr>
      <w:r>
        <w:t xml:space="preserve">Leva dois minutos e é para ler antes.</w:t>
      </w:r>
    </w:p>
    <w:bookmarkStart w:id="9" w:name="o-que-a-atividade-faz"/>
    <w:p>
      <w:pPr>
        <w:pStyle w:val="Heading2"/>
      </w:pPr>
      <w:r>
        <w:t xml:space="preserve">O que a atividade faz</w:t>
      </w:r>
    </w:p>
    <w:p>
      <w:pPr>
        <w:pStyle w:val="FirstParagraph"/>
      </w:pPr>
      <w:r>
        <w:t xml:space="preserve">Constrói, com material da própria vida da criança, a base da ideia de vidas</w:t>
      </w:r>
      <w:r>
        <w:t xml:space="preserve"> </w:t>
      </w:r>
      <w:r>
        <w:t xml:space="preserve">sucessivas — em vez de afirmá-la a ela. A criança lista o que mudou, descobre</w:t>
      </w:r>
      <w:r>
        <w:t xml:space="preserve"> </w:t>
      </w:r>
      <w:r>
        <w:t xml:space="preserve">sozinha que a lista é enorme, e chega na pergunta de que ainda assim continua</w:t>
      </w:r>
      <w:r>
        <w:t xml:space="preserve"> </w:t>
      </w:r>
      <w:r>
        <w:t xml:space="preserve">sendo ela.</w:t>
      </w:r>
    </w:p>
    <w:p>
      <w:pPr>
        <w:pStyle w:val="BodyText"/>
      </w:pPr>
      <w:r>
        <w:t xml:space="preserve">A conclusão do livro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é o destino obrigatório dessa pergunta.</w:t>
      </w:r>
    </w:p>
    <w:bookmarkEnd w:id="9"/>
    <w:bookmarkStart w:id="10" w:name="as-três-coisas-que-você-não-deve-fazer"/>
    <w:p>
      <w:pPr>
        <w:pStyle w:val="Heading2"/>
      </w:pPr>
      <w:r>
        <w:t xml:space="preserve">As três coisas que você não deve fazer</w:t>
      </w:r>
    </w:p>
    <w:p>
      <w:pPr>
        <w:pStyle w:val="FirstParagraph"/>
      </w:pPr>
      <w:r>
        <w:rPr>
          <w:b/>
          <w:bCs/>
        </w:rPr>
        <w:t xml:space="preserve">Não complete a coluna da direita.</w:t>
      </w:r>
      <w:r>
        <w:t xml:space="preserve"> </w:t>
      </w:r>
      <w:r>
        <w:t xml:space="preserve">É a mais difícil, e é onde a tentação de</w:t>
      </w:r>
      <w:r>
        <w:t xml:space="preserve"> </w:t>
      </w:r>
      <w:r>
        <w:t xml:space="preserve">ajudar é maior. Se a criança escrever</w:t>
      </w:r>
      <w:r>
        <w:t xml:space="preserve"> </w:t>
      </w:r>
      <w:r>
        <w:t xml:space="preserve">“meu nome”</w:t>
      </w:r>
      <w:r>
        <w:t xml:space="preserve"> </w:t>
      </w:r>
      <w:r>
        <w:t xml:space="preserve">e mais nada, está ótimo — e aí</w:t>
      </w:r>
      <w:r>
        <w:t xml:space="preserve"> </w:t>
      </w:r>
      <w:r>
        <w:t xml:space="preserve">vale uma pergunta, não uma correção:</w:t>
      </w:r>
      <w:r>
        <w:t xml:space="preserve"> </w:t>
      </w:r>
      <w:r>
        <w:rPr>
          <w:i/>
          <w:iCs/>
        </w:rPr>
        <w:t xml:space="preserve">o seu nome mudaria se a sua família</w:t>
      </w:r>
      <w:r>
        <w:rPr>
          <w:i/>
          <w:iCs/>
        </w:rPr>
        <w:t xml:space="preserve"> </w:t>
      </w:r>
      <w:r>
        <w:rPr>
          <w:i/>
          <w:iCs/>
        </w:rPr>
        <w:t xml:space="preserve">tivesse escolhido outro?</w:t>
      </w:r>
    </w:p>
    <w:p>
      <w:pPr>
        <w:pStyle w:val="BodyText"/>
      </w:pPr>
      <w:r>
        <w:rPr>
          <w:b/>
          <w:bCs/>
        </w:rPr>
        <w:t xml:space="preserve">Não feche a atividade com a conclusão do livro.</w:t>
      </w:r>
      <w:r>
        <w:t xml:space="preserve"> </w:t>
      </w:r>
      <w:r>
        <w:t xml:space="preserve">A pergunta do fim é melhor</w:t>
      </w:r>
      <w:r>
        <w:t xml:space="preserve"> </w:t>
      </w:r>
      <w:r>
        <w:t xml:space="preserve">aberta. Uma criança que sai daqui pensando vale mais do que uma que sai</w:t>
      </w:r>
      <w:r>
        <w:t xml:space="preserve"> </w:t>
      </w:r>
      <w:r>
        <w:t xml:space="preserve">repetindo.</w:t>
      </w:r>
    </w:p>
    <w:p>
      <w:pPr>
        <w:pStyle w:val="BodyText"/>
      </w:pPr>
      <w:r>
        <w:rPr>
          <w:b/>
          <w:bCs/>
        </w:rPr>
        <w:t xml:space="preserve">Não trate a coluna curta como problema.</w:t>
      </w:r>
      <w:r>
        <w:t xml:space="preserve"> </w:t>
      </w:r>
      <w:r>
        <w:t xml:space="preserve">Ela é curta para todo mundo,</w:t>
      </w:r>
      <w:r>
        <w:t xml:space="preserve"> </w:t>
      </w:r>
      <w:r>
        <w:t xml:space="preserve">inclusive para adultos. O desequilíbrio entre as duas colunas é o resultado da</w:t>
      </w:r>
      <w:r>
        <w:t xml:space="preserve"> </w:t>
      </w:r>
      <w:r>
        <w:t xml:space="preserve">atividade, não uma falha de preenchimento.</w:t>
      </w:r>
    </w:p>
    <w:bookmarkEnd w:id="10"/>
    <w:bookmarkStart w:id="11" w:name="o-que-ajuda"/>
    <w:p>
      <w:pPr>
        <w:pStyle w:val="Heading2"/>
      </w:pPr>
      <w:r>
        <w:t xml:space="preserve">O que ajuda</w:t>
      </w:r>
    </w:p>
    <w:p>
      <w:pPr>
        <w:pStyle w:val="FirstParagraph"/>
      </w:pPr>
      <w:r>
        <w:t xml:space="preserve">Fotos antigas. São o único item da lista que a criança não consegue responder</w:t>
      </w:r>
      <w:r>
        <w:t xml:space="preserve"> </w:t>
      </w:r>
      <w:r>
        <w:t xml:space="preserve">de memória, e costumam desbloquear a coluna da esquerda quando ela trava depois</w:t>
      </w:r>
      <w:r>
        <w:t xml:space="preserve"> </w:t>
      </w:r>
      <w:r>
        <w:t xml:space="preserve">de três ou quatro itens.</w:t>
      </w:r>
    </w:p>
    <w:bookmarkEnd w:id="11"/>
    <w:bookmarkStart w:id="12" w:name="em-grupo"/>
    <w:p>
      <w:pPr>
        <w:pStyle w:val="Heading2"/>
      </w:pPr>
      <w:r>
        <w:t xml:space="preserve">Em grupo</w:t>
      </w:r>
    </w:p>
    <w:p>
      <w:pPr>
        <w:pStyle w:val="FirstParagraph"/>
      </w:pPr>
      <w:r>
        <w:t xml:space="preserve">Funciona bem em roda, com várias crianças lendo as próprias colunas em voz</w:t>
      </w:r>
      <w:r>
        <w:t xml:space="preserve"> </w:t>
      </w:r>
      <w:r>
        <w:t xml:space="preserve">alta. Duas cautelas: ninguém é obrigado a ler a coluna da direita, e não se</w:t>
      </w:r>
      <w:r>
        <w:t xml:space="preserve"> </w:t>
      </w:r>
      <w:r>
        <w:t xml:space="preserve">compara o tamanho das listas entre as crianças.</w:t>
      </w:r>
    </w:p>
    <w:bookmarkEnd w:id="12"/>
    <w:bookmarkStart w:id="14" w:name="guarde-a-folha"/>
    <w:p>
      <w:pPr>
        <w:pStyle w:val="Heading2"/>
      </w:pPr>
      <w:r>
        <w:t xml:space="preserve">Guarde a folha</w:t>
      </w:r>
    </w:p>
    <w:p>
      <w:pPr>
        <w:pStyle w:val="FirstParagraph"/>
      </w:pPr>
      <w:r>
        <w:t xml:space="preserve">O valor real aparece na segunda versão, feita meses ou um ano depois. Anote a</w:t>
      </w:r>
      <w:r>
        <w:t xml:space="preserve"> </w:t>
      </w:r>
      <w:r>
        <w:t xml:space="preserve">data e guarde num lugar de onde ela possa ser recuperada — de preferência junto</w:t>
      </w:r>
      <w:r>
        <w:t xml:space="preserve"> </w:t>
      </w:r>
      <w:r>
        <w:t xml:space="preserve">com as outras fichas, na</w:t>
      </w:r>
      <w:r>
        <w:t xml:space="preserve"> </w:t>
      </w:r>
      <w:hyperlink r:id="rId13">
        <w:r>
          <w:rPr>
            <w:rStyle w:val="Hyperlink"/>
          </w:rPr>
          <w:t xml:space="preserve">pasta de experimentos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A analogia dos corpos como roupas que a gente usa mas não é</w:t>
      </w:r>
      <w:r>
        <w:t xml:space="preserve"> </w:t>
      </w:r>
      <w:r>
        <w:t xml:space="preserve">está no capítulo</w:t>
      </w:r>
      <w:r>
        <w:t xml:space="preserve"> </w:t>
      </w:r>
      <w:r>
        <w:rPr>
          <w:i/>
          <w:iCs/>
        </w:rPr>
        <w:t xml:space="preserve">Eu não sou o meu corpo?</w:t>
      </w:r>
      <w:r>
        <w:t xml:space="preserve">, que é também onde o livro nomeia o</w:t>
      </w:r>
      <w:r>
        <w:t xml:space="preserve"> </w:t>
      </w:r>
      <w:r>
        <w:t xml:space="preserve">holossoma e onde entra a ética de não convencer ninguém.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minha-ficha-de-experiment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minha-ficha-de-experiment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