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onho-ou-projeção"/>
    <w:p>
      <w:pPr>
        <w:pStyle w:val="Heading1"/>
      </w:pPr>
      <w:r>
        <w:t xml:space="preserve">Sonho ou projeção?</w:t>
      </w:r>
    </w:p>
    <w:p>
      <w:pPr>
        <w:pStyle w:val="FirstParagraph"/>
      </w:pPr>
      <w:r>
        <w:rPr>
          <w:b/>
          <w:bCs/>
        </w:rPr>
        <w:t xml:space="preserve">Faça o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Diário das Projeções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primeiro.</w:t>
      </w:r>
      <w:r>
        <w:t xml:space="preserve"> </w:t>
      </w:r>
      <w:r>
        <w:t xml:space="preserve">Sem umas</w:t>
      </w:r>
      <w:r>
        <w:t xml:space="preserve"> </w:t>
      </w:r>
      <w:r>
        <w:t xml:space="preserve">dez noites já anotadas no caderno, não há o que comparar aqui.</w:t>
      </w:r>
    </w:p>
    <w:p>
      <w:pPr>
        <w:pStyle w:val="BodyText"/>
      </w:pPr>
      <w:r>
        <w:t xml:space="preserve">Antônio dá critérios bem claros para separar as duas coisas. Nesta atividade</w:t>
      </w:r>
      <w:r>
        <w:t xml:space="preserve"> </w:t>
      </w:r>
      <w:r>
        <w:t xml:space="preserve">você vai usar os critérios</w:t>
      </w:r>
      <w:r>
        <w:t xml:space="preserve"> </w:t>
      </w:r>
      <w:r>
        <w:rPr>
          <w:b/>
          <w:bCs/>
        </w:rPr>
        <w:t xml:space="preserve">dele</w:t>
      </w:r>
      <w:r>
        <w:t xml:space="preserve"> </w:t>
      </w:r>
      <w:r>
        <w:t xml:space="preserve">nas anotações</w:t>
      </w:r>
      <w:r>
        <w:t xml:space="preserve"> </w:t>
      </w:r>
      <w:r>
        <w:rPr>
          <w:b/>
          <w:bCs/>
        </w:rPr>
        <w:t xml:space="preserve">suas</w:t>
      </w:r>
      <w:r>
        <w:t xml:space="preserve">.</w:t>
      </w:r>
    </w:p>
    <w:bookmarkStart w:id="10" w:name="os-critérios"/>
    <w:p>
      <w:pPr>
        <w:pStyle w:val="Heading2"/>
      </w:pPr>
      <w:r>
        <w:t xml:space="preserve">Os critérios</w:t>
      </w:r>
    </w:p>
    <w:tbl>
      <w:tblPr>
        <w:tblStyle w:val="Table"/>
        <w:tblW w:type="pct" w:w="4946"/>
        <w:tblLayout w:type="fixed"/>
        <w:tblLook w:firstRow="1" w:lastRow="0" w:firstColumn="0" w:lastColumn="0" w:noHBand="0" w:noVBand="0" w:val="0020"/>
      </w:tblPr>
      <w:tblGrid>
        <w:gridCol w:w="2324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Mais parece</w:t>
            </w:r>
            <w:r>
              <w:t xml:space="preserve"> </w:t>
            </w:r>
            <w:r>
              <w:rPr>
                <w:b/>
                <w:bCs/>
              </w:rPr>
              <w:t xml:space="preserve">sonho</w:t>
            </w:r>
          </w:p>
        </w:tc>
        <w:tc>
          <w:tcPr/>
          <w:p>
            <w:pPr>
              <w:pStyle w:val="Compact"/>
            </w:pPr>
            <w:r>
              <w:t xml:space="preserve">Mais parece</w:t>
            </w:r>
            <w:r>
              <w:t xml:space="preserve"> </w:t>
            </w:r>
            <w:r>
              <w:rPr>
                <w:b/>
                <w:bCs/>
              </w:rPr>
              <w:t xml:space="preserve">projeção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as cenas se</w:t>
            </w:r>
            <w:r>
              <w:t xml:space="preserve"> </w:t>
            </w:r>
            <w:r>
              <w:t xml:space="preserve">encaixam</w:t>
            </w:r>
          </w:p>
        </w:tc>
        <w:tc>
          <w:tcPr/>
          <w:p>
            <w:pPr>
              <w:pStyle w:val="Compact"/>
            </w:pPr>
            <w:r>
              <w:t xml:space="preserve">embaralhadas, como pedaços de</w:t>
            </w:r>
            <w:r>
              <w:t xml:space="preserve"> </w:t>
            </w:r>
            <w:r>
              <w:t xml:space="preserve">filmes diferentes</w:t>
            </w:r>
          </w:p>
        </w:tc>
        <w:tc>
          <w:tcPr/>
          <w:p>
            <w:pPr>
              <w:pStyle w:val="Compact"/>
            </w:pPr>
            <w:r>
              <w:t xml:space="preserve">uma coisa de cada vez, em</w:t>
            </w:r>
            <w:r>
              <w:t xml:space="preserve"> </w:t>
            </w:r>
            <w:r>
              <w:t xml:space="preserve">ordem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Nitidez</w:t>
            </w:r>
          </w:p>
        </w:tc>
        <w:tc>
          <w:tcPr/>
          <w:p>
            <w:pPr>
              <w:pStyle w:val="Compact"/>
            </w:pPr>
            <w:r>
              <w:t xml:space="preserve">confuso</w:t>
            </w:r>
          </w:p>
        </w:tc>
        <w:tc>
          <w:tcPr/>
          <w:p>
            <w:pPr>
              <w:pStyle w:val="Compact"/>
            </w:pPr>
            <w:r>
              <w:t xml:space="preserve">nítido, claro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eu fiz</w:t>
            </w:r>
          </w:p>
        </w:tc>
        <w:tc>
          <w:tcPr/>
          <w:p>
            <w:pPr>
              <w:pStyle w:val="Compact"/>
            </w:pPr>
            <w:r>
              <w:t xml:space="preserve">só acompanhei, como quem</w:t>
            </w:r>
            <w:r>
              <w:t xml:space="preserve"> </w:t>
            </w:r>
            <w:r>
              <w:t xml:space="preserve">assiste</w:t>
            </w:r>
          </w:p>
        </w:tc>
        <w:tc>
          <w:tcPr/>
          <w:p>
            <w:pPr>
              <w:pStyle w:val="Compact"/>
            </w:pPr>
            <w:r>
              <w:t xml:space="preserve">tomei decisões, 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Parecido com quê</w:t>
            </w:r>
          </w:p>
        </w:tc>
        <w:tc>
          <w:tcPr/>
          <w:p>
            <w:pPr>
              <w:pStyle w:val="Compact"/>
            </w:pPr>
            <w:r>
              <w:t xml:space="preserve">com imaginação</w:t>
            </w:r>
          </w:p>
        </w:tc>
        <w:tc>
          <w:tcPr/>
          <w:p>
            <w:pPr>
              <w:pStyle w:val="Compact"/>
            </w:pPr>
            <w:r>
              <w:t xml:space="preserve">com estar acordado</w:t>
            </w:r>
          </w:p>
        </w:tc>
      </w:tr>
    </w:tbl>
    <w:p>
      <w:pPr>
        <w:pStyle w:val="BodyText"/>
      </w:pPr>
      <w:r>
        <w:t xml:space="preserve">Os quatro saem da fala em que Antônio explica os dois diários, 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. Sobre o sonho ele diz que as cenas vêm</w:t>
      </w:r>
      <w:r>
        <w:t xml:space="preserve"> </w:t>
      </w:r>
      <w:r>
        <w:rPr>
          <w:i/>
          <w:iCs/>
        </w:rPr>
        <w:t xml:space="preserve">“misturando cenas como se fossem pedaços de filmes embaralhados”</w:t>
      </w:r>
      <w:r>
        <w:t xml:space="preserve"> </w:t>
      </w:r>
      <w:r>
        <w:t xml:space="preserve">e que nele</w:t>
      </w:r>
      <w:r>
        <w:t xml:space="preserve"> </w:t>
      </w:r>
      <w:r>
        <w:rPr>
          <w:i/>
          <w:iCs/>
        </w:rPr>
        <w:t xml:space="preserve">“não conseguimos praticar ações, só acompanhamos o que acontece”</w:t>
      </w:r>
      <w:r>
        <w:t xml:space="preserve">. Sobre a</w:t>
      </w:r>
      <w:r>
        <w:t xml:space="preserve"> </w:t>
      </w:r>
      <w:r>
        <w:t xml:space="preserve">projeção, que</w:t>
      </w:r>
      <w:r>
        <w:t xml:space="preserve"> </w:t>
      </w:r>
      <w:r>
        <w:rPr>
          <w:i/>
          <w:iCs/>
        </w:rPr>
        <w:t xml:space="preserve">“as situações são mais nítidas, você toma decisões e atitudes,</w:t>
      </w:r>
      <w:r>
        <w:rPr>
          <w:i/>
          <w:iCs/>
        </w:rPr>
        <w:t xml:space="preserve"> </w:t>
      </w:r>
      <w:r>
        <w:rPr>
          <w:i/>
          <w:iCs/>
        </w:rPr>
        <w:t xml:space="preserve">tudo acontece de maneira clara, uma coisa de cada vez, igual quando está</w:t>
      </w:r>
      <w:r>
        <w:rPr>
          <w:i/>
          <w:iCs/>
        </w:rPr>
        <w:t xml:space="preserve"> </w:t>
      </w:r>
      <w:r>
        <w:rPr>
          <w:i/>
          <w:iCs/>
        </w:rPr>
        <w:t xml:space="preserve">acordado”</w:t>
      </w:r>
      <w:r>
        <w:t xml:space="preserve">.</w:t>
      </w:r>
    </w:p>
    <w:bookmarkEnd w:id="10"/>
    <w:bookmarkStart w:id="11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t xml:space="preserve">Pegue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anotação do seu diário.</w:t>
      </w:r>
    </w:p>
    <w:p>
      <w:pPr>
        <w:numPr>
          <w:ilvl w:val="0"/>
          <w:numId w:val="1001"/>
        </w:numPr>
      </w:pPr>
      <w:r>
        <w:t xml:space="preserve">Passe pelas quatro linhas da tabela,</w:t>
      </w:r>
      <w:r>
        <w:t xml:space="preserve"> </w:t>
      </w:r>
      <w:r>
        <w:rPr>
          <w:b/>
          <w:bCs/>
        </w:rPr>
        <w:t xml:space="preserve">uma por uma</w:t>
      </w:r>
      <w:r>
        <w:t xml:space="preserve">, e marque na margem da</w:t>
      </w:r>
      <w:r>
        <w:t xml:space="preserve"> </w:t>
      </w:r>
      <w:r>
        <w:t xml:space="preserve">direita do diário — aquela coluna</w:t>
      </w:r>
      <w:r>
        <w:t xml:space="preserve"> </w:t>
      </w:r>
      <w:r>
        <w:rPr>
          <w:i/>
          <w:iCs/>
        </w:rPr>
        <w:t xml:space="preserve">para usar depois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se aquele critério puxa para sonho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</w:t>
      </w:r>
      <w:r>
        <w:t xml:space="preserve"> </w:t>
      </w:r>
      <w:r>
        <w:t xml:space="preserve">se puxa para projeção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se não dá para saber</w:t>
      </w:r>
    </w:p>
    <w:p>
      <w:pPr>
        <w:numPr>
          <w:ilvl w:val="0"/>
          <w:numId w:val="1001"/>
        </w:numPr>
      </w:pPr>
      <w:r>
        <w:t xml:space="preserve">Conte. Três ou quatro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puxam para um lado; três ou quatro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puxam</w:t>
      </w:r>
      <w:r>
        <w:t xml:space="preserve"> </w:t>
      </w:r>
      <w:r>
        <w:t xml:space="preserve">para o outro. Dois e dois ficam</w:t>
      </w:r>
      <w:r>
        <w:t xml:space="preserve"> </w:t>
      </w:r>
      <w:r>
        <w:rPr>
          <w:b/>
          <w:bCs/>
        </w:rPr>
        <w:t xml:space="preserve">em cima do muro</w:t>
      </w:r>
      <w:r>
        <w:t xml:space="preserve"> </w:t>
      </w:r>
      <w:r>
        <w:t xml:space="preserve">— e em cima do muro é</w:t>
      </w:r>
      <w:r>
        <w:t xml:space="preserve"> </w:t>
      </w:r>
      <w:r>
        <w:t xml:space="preserve">uma resposta perfeitamente boa.</w:t>
      </w:r>
    </w:p>
    <w:p>
      <w:pPr>
        <w:numPr>
          <w:ilvl w:val="0"/>
          <w:numId w:val="1001"/>
        </w:numPr>
      </w:pPr>
      <w:r>
        <w:t xml:space="preserve">Passe o resultado para a folha de classificação e repita com as outras</w:t>
      </w:r>
      <w:r>
        <w:t xml:space="preserve"> </w:t>
      </w:r>
      <w:r>
        <w:t xml:space="preserve">anotações.</w:t>
      </w:r>
    </w:p>
    <w:bookmarkEnd w:id="11"/>
    <w:bookmarkStart w:id="12" w:name="no-fim"/>
    <w:p>
      <w:pPr>
        <w:pStyle w:val="Heading2"/>
      </w:pPr>
      <w:r>
        <w:t xml:space="preserve">No fim</w:t>
      </w:r>
    </w:p>
    <w:p>
      <w:pPr>
        <w:pStyle w:val="FirstParagraph"/>
      </w:pPr>
      <w:r>
        <w:t xml:space="preserve">Depois de classificar as dez, responda:</w:t>
      </w:r>
    </w:p>
    <w:p>
      <w:pPr>
        <w:pStyle w:val="Compact"/>
        <w:numPr>
          <w:ilvl w:val="0"/>
          <w:numId w:val="1003"/>
        </w:numPr>
      </w:pPr>
      <w:r>
        <w:t xml:space="preserve">Quantas ficaram</w:t>
      </w:r>
      <w:r>
        <w:t xml:space="preserve"> </w:t>
      </w:r>
      <w:r>
        <w:rPr>
          <w:b/>
          <w:bCs/>
        </w:rPr>
        <w:t xml:space="preserve">S</w:t>
      </w:r>
      <w:r>
        <w:t xml:space="preserve">, quantas</w:t>
      </w:r>
      <w:r>
        <w:t xml:space="preserve"> </w:t>
      </w:r>
      <w:r>
        <w:rPr>
          <w:b/>
          <w:bCs/>
        </w:rPr>
        <w:t xml:space="preserve">P</w:t>
      </w:r>
      <w:r>
        <w:t xml:space="preserve">, quantas em dúvida?</w:t>
      </w:r>
    </w:p>
    <w:p>
      <w:pPr>
        <w:pStyle w:val="Compact"/>
        <w:numPr>
          <w:ilvl w:val="0"/>
          <w:numId w:val="1003"/>
        </w:numPr>
      </w:pPr>
      <w:r>
        <w:t xml:space="preserve">Nas que ficaram em dúvida,</w:t>
      </w:r>
      <w:r>
        <w:t xml:space="preserve"> </w:t>
      </w:r>
      <w:r>
        <w:rPr>
          <w:b/>
          <w:bCs/>
        </w:rPr>
        <w:t xml:space="preserve">qual critério</w:t>
      </w:r>
      <w:r>
        <w:t xml:space="preserve"> </w:t>
      </w:r>
      <w:r>
        <w:t xml:space="preserve">foi o mais difícil de decidir?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você tivesse chutado sem a tabela, teria dado o mesmo resultado?</w:t>
      </w:r>
    </w:p>
    <w:p>
      <w:pPr>
        <w:pStyle w:val="FirstParagraph"/>
      </w:pPr>
      <w:r>
        <w:t xml:space="preserve">A última é a pergunta mais importante desta atividade inteira.</w:t>
      </w:r>
    </w:p>
    <w:bookmarkEnd w:id="12"/>
    <w:bookmarkStart w:id="13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Reparou que o critério mais fácil de responder é o terceiro —</w:t>
      </w:r>
      <w:r>
        <w:t xml:space="preserve"> </w:t>
      </w:r>
      <w:r>
        <w:rPr>
          <w:i/>
          <w:iCs/>
        </w:rPr>
        <w:t xml:space="preserve">eu decidi alguma</w:t>
      </w:r>
      <w:r>
        <w:rPr>
          <w:i/>
          <w:iCs/>
        </w:rPr>
        <w:t xml:space="preserve"> </w:t>
      </w:r>
      <w:r>
        <w:rPr>
          <w:i/>
          <w:iCs/>
        </w:rPr>
        <w:t xml:space="preserve">coisa ou só assisti?</w:t>
      </w:r>
      <w:r>
        <w:t xml:space="preserve"> </w:t>
      </w:r>
      <w:r>
        <w:t xml:space="preserve">Ele é fácil porque não depende de lembrar detalhes.</w:t>
      </w:r>
    </w:p>
    <w:p>
      <w:pPr>
        <w:pStyle w:val="BodyText"/>
      </w:pPr>
      <w:r>
        <w:t xml:space="preserve">E repare no que você acabou de fazer: em vez de perguntar a alguém se foi sonho</w:t>
      </w:r>
      <w:r>
        <w:t xml:space="preserve"> </w:t>
      </w:r>
      <w:r>
        <w:t xml:space="preserve">ou projeção, você aplicou um critério e chegou sozinho a uma resposta —</w:t>
      </w:r>
      <w:r>
        <w:t xml:space="preserve"> </w:t>
      </w:r>
      <w:r>
        <w:t xml:space="preserve">inclusive à resposta</w:t>
      </w:r>
      <w:r>
        <w:t xml:space="preserve"> </w:t>
      </w:r>
      <w:r>
        <w:t xml:space="preserve">“não dá para saber”</w:t>
      </w:r>
      <w:r>
        <w:t xml:space="preserve">.</w:t>
      </w:r>
    </w:p>
    <w:p>
      <w:pPr>
        <w:pStyle w:val="BodyText"/>
      </w:pPr>
      <w:r>
        <w:t xml:space="preserve">Isso é o senso crítico que Antônio chama de superpoder, usado na sua própria</w:t>
      </w:r>
      <w:r>
        <w:t xml:space="preserve"> </w:t>
      </w:r>
      <w:r>
        <w:t xml:space="preserve">experiência.</w:t>
      </w:r>
    </w:p>
    <w:p>
      <w:pPr>
        <w:pStyle w:val="BodyText"/>
      </w:pPr>
      <w:r>
        <w:t xml:space="preserve">Ninguém precisa concordar com a sua classificação. Você tem os critérios</w:t>
      </w:r>
      <w:r>
        <w:t xml:space="preserve"> </w:t>
      </w:r>
      <w:r>
        <w:t xml:space="preserve">anotados e pode mostrar como chegou lá.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Os quatro critérios e a distinção entre sonho e projeção estão</w:t>
      </w:r>
      <w:r>
        <w:t xml:space="preserve"> </w:t>
      </w:r>
      <w:r>
        <w:t xml:space="preserve">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, na fala em que Antônio apresenta os</w:t>
      </w:r>
      <w:r>
        <w:t xml:space="preserve"> </w:t>
      </w:r>
      <w:r>
        <w:t xml:space="preserve">dois diários.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diario-das-projeco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diario-das-projeco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