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-sacudida-do-cachorro-guia-do-mediador"/>
    <w:p>
      <w:pPr>
        <w:pStyle w:val="Heading1"/>
      </w:pPr>
      <w:r>
        <w:t xml:space="preserve">A sacudida do cachorro — guia do mediador</w:t>
      </w:r>
    </w:p>
    <w:p>
      <w:pPr>
        <w:pStyle w:val="FirstParagraph"/>
      </w:pPr>
      <w:r>
        <w:rPr>
          <w:b/>
          <w:bCs/>
        </w:rPr>
        <w:t xml:space="preserve">Leia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Conduzir sem induzir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antes.</w:t>
      </w:r>
      <w:r>
        <w:t xml:space="preserve"> </w:t>
      </w:r>
      <w:r>
        <w:t xml:space="preserve">É atividade de</w:t>
      </w:r>
      <w:r>
        <w:t xml:space="preserve"> </w:t>
      </w:r>
      <w:r>
        <w:t xml:space="preserve">bioenergia.</w:t>
      </w:r>
    </w:p>
    <w:bookmarkStart w:id="10" w:name="o-que-esta-atividade-entrega"/>
    <w:p>
      <w:pPr>
        <w:pStyle w:val="Heading2"/>
      </w:pPr>
      <w:r>
        <w:t xml:space="preserve">O que esta atividade entrega</w:t>
      </w:r>
    </w:p>
    <w:p>
      <w:pPr>
        <w:pStyle w:val="FirstParagraph"/>
      </w:pPr>
      <w:r>
        <w:t xml:space="preserve">Um recurso de autorregulação — e, mais raro,</w:t>
      </w:r>
      <w:r>
        <w:t xml:space="preserve"> </w:t>
      </w:r>
      <w:r>
        <w:rPr>
          <w:b/>
          <w:bCs/>
        </w:rPr>
        <w:t xml:space="preserve">uma forma de a criança verificar</w:t>
      </w:r>
      <w:r>
        <w:rPr>
          <w:b/>
          <w:bCs/>
        </w:rPr>
        <w:t xml:space="preserve"> </w:t>
      </w:r>
      <w:r>
        <w:rPr>
          <w:b/>
          <w:bCs/>
        </w:rPr>
        <w:t xml:space="preserve">se ele funciona para ela</w:t>
      </w:r>
      <w:r>
        <w:t xml:space="preserve">. As duas coisas juntas, e é a segunda que faz a</w:t>
      </w:r>
      <w:r>
        <w:t xml:space="preserve"> </w:t>
      </w:r>
      <w:r>
        <w:t xml:space="preserve">diferença.</w:t>
      </w:r>
    </w:p>
    <w:bookmarkEnd w:id="10"/>
    <w:bookmarkStart w:id="11" w:name="não-pule-a-nota-antes"/>
    <w:p>
      <w:pPr>
        <w:pStyle w:val="Heading2"/>
      </w:pPr>
      <w:r>
        <w:t xml:space="preserve">Não pule a nota</w:t>
      </w:r>
      <w:r>
        <w:t xml:space="preserve"> </w:t>
      </w:r>
      <w:r>
        <w:t xml:space="preserve">“antes”</w:t>
      </w:r>
    </w:p>
    <w:p>
      <w:pPr>
        <w:pStyle w:val="FirstParagraph"/>
      </w:pPr>
      <w:r>
        <w:t xml:space="preserve">Sem ela a criança fica só com a impressão de melhora depois, que é exatamente o</w:t>
      </w:r>
      <w:r>
        <w:t xml:space="preserve"> </w:t>
      </w:r>
      <w:r>
        <w:t xml:space="preserve">que não se pode medir. A nota de antes é o que transforma</w:t>
      </w:r>
      <w:r>
        <w:t xml:space="preserve"> </w:t>
      </w:r>
      <w:r>
        <w:t xml:space="preserve">“me senti melhor”</w:t>
      </w:r>
      <w:r>
        <w:t xml:space="preserve"> </w:t>
      </w:r>
      <w:r>
        <w:t xml:space="preserve">em</w:t>
      </w:r>
      <w:r>
        <w:t xml:space="preserve"> </w:t>
      </w:r>
      <w:r>
        <w:t xml:space="preserve">um dado.</w:t>
      </w:r>
    </w:p>
    <w:p>
      <w:pPr>
        <w:pStyle w:val="BodyText"/>
      </w:pPr>
      <w:r>
        <w:t xml:space="preserve">Ela precisa ser dada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exercício, não reconstruída depois.</w:t>
      </w:r>
    </w:p>
    <w:bookmarkEnd w:id="11"/>
    <w:bookmarkStart w:id="12" w:name="escolha-o-momento-com-cuidado"/>
    <w:p>
      <w:pPr>
        <w:pStyle w:val="Heading2"/>
      </w:pPr>
      <w:r>
        <w:t xml:space="preserve">Escolha o momento com cuidado</w:t>
      </w:r>
    </w:p>
    <w:p>
      <w:pPr>
        <w:pStyle w:val="FirstParagraph"/>
      </w:pPr>
      <w:r>
        <w:t xml:space="preserve">Oferecer o exercício</w:t>
      </w:r>
      <w:r>
        <w:t xml:space="preserve"> </w:t>
      </w:r>
      <w:r>
        <w:rPr>
          <w:b/>
          <w:bCs/>
        </w:rPr>
        <w:t xml:space="preserve">no meio de uma crise</w:t>
      </w:r>
      <w:r>
        <w:t xml:space="preserve">, ou</w:t>
      </w:r>
      <w:r>
        <w:t xml:space="preserve"> </w:t>
      </w:r>
      <w:r>
        <w:rPr>
          <w:b/>
          <w:bCs/>
        </w:rPr>
        <w:t xml:space="preserve">logo depois de uma bronca</w:t>
      </w:r>
      <w:r>
        <w:t xml:space="preserve">,</w:t>
      </w:r>
      <w:r>
        <w:t xml:space="preserve"> </w:t>
      </w:r>
      <w:r>
        <w:t xml:space="preserve">transforma a técnica em castigo disfarçado — e a criança aprende a associá-la a</w:t>
      </w:r>
      <w:r>
        <w:t xml:space="preserve"> </w:t>
      </w:r>
      <w:r>
        <w:t xml:space="preserve">punição, não a cuidado.</w:t>
      </w:r>
    </w:p>
    <w:p>
      <w:pPr>
        <w:pStyle w:val="BodyText"/>
      </w:pPr>
      <w:r>
        <w:t xml:space="preserve">Ofereça quando ela já estiver conseguindo respirar.</w:t>
      </w:r>
    </w:p>
    <w:bookmarkEnd w:id="12"/>
    <w:bookmarkStart w:id="13" w:name="se-a-nota-não-subir"/>
    <w:p>
      <w:pPr>
        <w:pStyle w:val="Heading2"/>
      </w:pPr>
      <w:r>
        <w:t xml:space="preserve">Se a nota não subir</w:t>
      </w:r>
    </w:p>
    <w:p>
      <w:pPr>
        <w:pStyle w:val="FirstParagraph"/>
      </w:pPr>
      <w:r>
        <w:t xml:space="preserve">Diga em voz alta que isso não é fracasso — nem dela, nem da técnica. É um dado,</w:t>
      </w:r>
      <w:r>
        <w:t xml:space="preserve"> </w:t>
      </w:r>
      <w:r>
        <w:t xml:space="preserve">e é um resultado tão bom quanto o outro.</w:t>
      </w:r>
    </w:p>
    <w:p>
      <w:pPr>
        <w:pStyle w:val="BodyText"/>
      </w:pPr>
      <w:r>
        <w:t xml:space="preserve">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fazer: pedir para repetir na hora, sugerir que ela tente com mais</w:t>
      </w:r>
      <w:r>
        <w:t xml:space="preserve"> </w:t>
      </w:r>
      <w:r>
        <w:t xml:space="preserve">vontade, ou perguntar</w:t>
      </w:r>
      <w:r>
        <w:t xml:space="preserve"> </w:t>
      </w:r>
      <w:r>
        <w:t xml:space="preserve">“tem certeza que não melhorou?”</w:t>
      </w:r>
      <w:r>
        <w:t xml:space="preserve">.</w:t>
      </w:r>
    </w:p>
    <w:bookmarkEnd w:id="13"/>
    <w:bookmarkStart w:id="14" w:name="o-dia-marcado-com-c"/>
    <w:p>
      <w:pPr>
        <w:pStyle w:val="Heading2"/>
      </w:pPr>
      <w:r>
        <w:t xml:space="preserve">O dia marcado com C</w:t>
      </w:r>
    </w:p>
    <w:p>
      <w:pPr>
        <w:pStyle w:val="FirstParagraph"/>
      </w:pPr>
      <w:r>
        <w:t xml:space="preserve">Algumas vezes a criança vai apenas sentar em silêncio pelo mesmo tempo, sem</w:t>
      </w:r>
      <w:r>
        <w:t xml:space="preserve"> </w:t>
      </w:r>
      <w:r>
        <w:t xml:space="preserve">fazer o exercício, e marcar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na folha.</w:t>
      </w:r>
    </w:p>
    <w:p>
      <w:pPr>
        <w:pStyle w:val="BodyText"/>
      </w:pPr>
      <w:r>
        <w:t xml:space="preserve">Isso não é sabotagem da atividade: é o que permite saber se a mudança veio do</w:t>
      </w:r>
      <w:r>
        <w:t xml:space="preserve"> </w:t>
      </w:r>
      <w:r>
        <w:t xml:space="preserve">exercício ou de ter parado cinco minutos. Se as duas colunas derem notas</w:t>
      </w:r>
      <w:r>
        <w:t xml:space="preserve"> </w:t>
      </w:r>
      <w:r>
        <w:t xml:space="preserve">parecidas, esse é o resultado, e ele vale.</w:t>
      </w:r>
    </w:p>
    <w:p>
      <w:pPr>
        <w:pStyle w:val="BodyText"/>
      </w:pPr>
      <w:r>
        <w:t xml:space="preserve">Não comente qual coluna você espera que ganhe.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limpeza energética e a analogia do cachorro molhado estão no</w:t>
      </w:r>
      <w:r>
        <w:t xml:space="preserve"> </w:t>
      </w:r>
      <w:r>
        <w:t xml:space="preserve">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conduzir-sem-induzi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conduzir-sem-induzi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