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gratidão-que-vira-ação-guia-do-mediador"/>
    <w:p>
      <w:pPr>
        <w:pStyle w:val="Heading1"/>
      </w:pPr>
      <w:r>
        <w:t xml:space="preserve">Gratidão que vira ação — guia do mediador</w:t>
      </w:r>
    </w:p>
    <w:p>
      <w:pPr>
        <w:pStyle w:val="FirstParagraph"/>
      </w:pPr>
      <w:r>
        <w:t xml:space="preserve">Leva dois minutos e é para ler antes.</w:t>
      </w:r>
    </w:p>
    <w:bookmarkStart w:id="9" w:name="o-passo-4-é-o-que-faz-a-atividade-valer"/>
    <w:p>
      <w:pPr>
        <w:pStyle w:val="Heading2"/>
      </w:pPr>
      <w:r>
        <w:t xml:space="preserve">O passo 4 é o que faz a atividade valer</w:t>
      </w:r>
    </w:p>
    <w:p>
      <w:pPr>
        <w:pStyle w:val="FirstParagraph"/>
      </w:pPr>
      <w:r>
        <w:t xml:space="preserve">Sem o gesto, a criança treina</w:t>
      </w:r>
      <w:r>
        <w:t xml:space="preserve"> </w:t>
      </w:r>
      <w:r>
        <w:rPr>
          <w:b/>
          <w:bCs/>
        </w:rPr>
        <w:t xml:space="preserve">emoção</w:t>
      </w:r>
      <w:r>
        <w:t xml:space="preserve">. Com o gesto, treina</w:t>
      </w:r>
      <w:r>
        <w:t xml:space="preserve"> </w:t>
      </w:r>
      <w:r>
        <w:rPr>
          <w:b/>
          <w:bCs/>
        </w:rPr>
        <w:t xml:space="preserve">assistência</w:t>
      </w:r>
      <w:r>
        <w:t xml:space="preserve">.</w:t>
      </w:r>
      <w:r>
        <w:t xml:space="preserve"> </w:t>
      </w:r>
      <w:r>
        <w:t xml:space="preserve">São coisas diferentes, e só a segunda deixa alguma marca.</w:t>
      </w:r>
    </w:p>
    <w:p>
      <w:pPr>
        <w:pStyle w:val="BodyText"/>
      </w:pPr>
      <w:r>
        <w:t xml:space="preserve">Seu trabalho é tornar o gesto</w:t>
      </w:r>
      <w:r>
        <w:t xml:space="preserve"> </w:t>
      </w:r>
      <w:r>
        <w:rPr>
          <w:b/>
          <w:bCs/>
        </w:rPr>
        <w:t xml:space="preserve">possível e proporcional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pequeno;</w:t>
      </w:r>
    </w:p>
    <w:p>
      <w:pPr>
        <w:pStyle w:val="Compact"/>
        <w:numPr>
          <w:ilvl w:val="0"/>
          <w:numId w:val="1001"/>
        </w:numPr>
      </w:pPr>
      <w:r>
        <w:t xml:space="preserve">feito pela própria criança, do começo ao fim;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 custar dinheiro</w:t>
      </w:r>
      <w:r>
        <w:t xml:space="preserve">.</w:t>
      </w:r>
    </w:p>
    <w:p>
      <w:pPr>
        <w:pStyle w:val="FirstParagraph"/>
      </w:pPr>
      <w:r>
        <w:t xml:space="preserve">Se o gesto que ela propuser depender de você comprar, levar de carro ou</w:t>
      </w:r>
      <w:r>
        <w:t xml:space="preserve"> </w:t>
      </w:r>
      <w:r>
        <w:t xml:space="preserve">executar junto, ajude-a a trocar por outro.</w:t>
      </w:r>
    </w:p>
    <w:bookmarkEnd w:id="9"/>
    <w:bookmarkStart w:id="10" w:name="o-erro-a-evitar-está-no-passo-2"/>
    <w:p>
      <w:pPr>
        <w:pStyle w:val="Heading2"/>
      </w:pPr>
      <w:r>
        <w:t xml:space="preserve">O erro a evitar está no passo 2</w:t>
      </w:r>
    </w:p>
    <w:p>
      <w:pPr>
        <w:pStyle w:val="FirstParagraph"/>
      </w:pPr>
      <w:r>
        <w:t xml:space="preserve">A pergunta é</w:t>
      </w:r>
      <w:r>
        <w:t xml:space="preserve"> </w:t>
      </w:r>
      <w:r>
        <w:rPr>
          <w:b/>
          <w:bCs/>
        </w:rPr>
        <w:t xml:space="preserve">do que a pessoa abriu mão</w:t>
      </w:r>
      <w:r>
        <w:t xml:space="preserve">. Não é o quanto a criança deve a</w:t>
      </w:r>
      <w:r>
        <w:t xml:space="preserve"> </w:t>
      </w:r>
      <w:r>
        <w:t xml:space="preserve">ela.</w:t>
      </w:r>
    </w:p>
    <w:p>
      <w:pPr>
        <w:pStyle w:val="BodyText"/>
      </w:pPr>
      <w:r>
        <w:t xml:space="preserve">Se a conversa escorregar para dívida —</w:t>
      </w:r>
      <w:r>
        <w:t xml:space="preserve"> </w:t>
      </w:r>
      <w:r>
        <w:t xml:space="preserve">“olha tudo que ela fez por você”</w:t>
      </w:r>
      <w:r>
        <w:t xml:space="preserve"> </w:t>
      </w:r>
      <w:r>
        <w:t xml:space="preserve">— ou</w:t>
      </w:r>
      <w:r>
        <w:t xml:space="preserve"> </w:t>
      </w:r>
      <w:r>
        <w:t xml:space="preserve">para culpa, volte à pergunta original:</w:t>
      </w:r>
      <w:r>
        <w:t xml:space="preserve"> </w:t>
      </w:r>
      <w:r>
        <w:rPr>
          <w:i/>
          <w:iCs/>
        </w:rPr>
        <w:t xml:space="preserve">como a minha vida ficou melhor?</w:t>
      </w:r>
    </w:p>
    <w:p>
      <w:pPr>
        <w:pStyle w:val="BodyText"/>
      </w:pPr>
      <w:r>
        <w:t xml:space="preserve">Gratidão cobrada não é gratidão, e uma criança de nove anos não tem como</w:t>
      </w:r>
      <w:r>
        <w:t xml:space="preserve"> </w:t>
      </w:r>
      <w:r>
        <w:t xml:space="preserve">distinguir as duas se o adulto misturar.</w:t>
      </w:r>
    </w:p>
    <w:bookmarkEnd w:id="10"/>
    <w:bookmarkStart w:id="11" w:name="um-momento-específico-não-sempre"/>
    <w:p>
      <w:pPr>
        <w:pStyle w:val="Heading2"/>
      </w:pPr>
      <w:r>
        <w:t xml:space="preserve">Um momento específico, não</w:t>
      </w:r>
      <w:r>
        <w:t xml:space="preserve"> </w:t>
      </w:r>
      <w:r>
        <w:t xml:space="preserve">“sempre”</w:t>
      </w:r>
    </w:p>
    <w:p>
      <w:pPr>
        <w:pStyle w:val="FirstParagraph"/>
      </w:pPr>
      <w:r>
        <w:t xml:space="preserve">“Minha mãe sempre me ajuda”</w:t>
      </w:r>
      <w:r>
        <w:t xml:space="preserve"> </w:t>
      </w:r>
      <w:r>
        <w:t xml:space="preserve">não produz nada.</w:t>
      </w:r>
      <w:r>
        <w:t xml:space="preserve"> </w:t>
      </w:r>
      <w:r>
        <w:t xml:space="preserve">“Naquele dia, naquela hora”</w:t>
      </w:r>
      <w:r>
        <w:t xml:space="preserve"> </w:t>
      </w:r>
      <w:r>
        <w:t xml:space="preserve">produz.</w:t>
      </w:r>
    </w:p>
    <w:p>
      <w:pPr>
        <w:pStyle w:val="BodyText"/>
      </w:pPr>
      <w:r>
        <w:t xml:space="preserve">Se a criança generalizar, peça um exemplo — e aceite o primeiro que ela der,</w:t>
      </w:r>
      <w:r>
        <w:t xml:space="preserve"> </w:t>
      </w:r>
      <w:r>
        <w:t xml:space="preserve">mesmo que pareça pequeno demais para você. O tamanho do favor não é o ponto.</w:t>
      </w:r>
    </w:p>
    <w:bookmarkEnd w:id="11"/>
    <w:bookmarkStart w:id="12" w:name="não-escolha-a-pessoa-por-ela"/>
    <w:p>
      <w:pPr>
        <w:pStyle w:val="Heading2"/>
      </w:pPr>
      <w:r>
        <w:t xml:space="preserve">Não escolha a pessoa por ela</w:t>
      </w:r>
    </w:p>
    <w:p>
      <w:pPr>
        <w:pStyle w:val="FirstParagraph"/>
      </w:pPr>
      <w:r>
        <w:t xml:space="preserve">Inclusive — e principalmente — se você for a pessoa óbvia. Se a criança</w:t>
      </w:r>
      <w:r>
        <w:t xml:space="preserve"> </w:t>
      </w:r>
      <w:r>
        <w:t xml:space="preserve">escolher alguém de fora da família, ou alguém com quem você tem alguma questão,</w:t>
      </w:r>
      <w:r>
        <w:t xml:space="preserve"> </w:t>
      </w:r>
      <w:r>
        <w:t xml:space="preserve">não redirecione.</w:t>
      </w:r>
    </w:p>
    <w:bookmarkEnd w:id="12"/>
    <w:bookmarkStart w:id="13" w:name="depois-do-gesto"/>
    <w:p>
      <w:pPr>
        <w:pStyle w:val="Heading2"/>
      </w:pPr>
      <w:r>
        <w:t xml:space="preserve">Depois do gesto</w:t>
      </w:r>
    </w:p>
    <w:p>
      <w:pPr>
        <w:pStyle w:val="FirstParagraph"/>
      </w:pPr>
      <w:r>
        <w:t xml:space="preserve">Pergunte como foi, e pare aí. Não avalie o gesto, não sugira um melhor para a</w:t>
      </w:r>
      <w:r>
        <w:t xml:space="preserve"> </w:t>
      </w:r>
      <w:r>
        <w:t xml:space="preserve">próxima, e não peça para repetir com outra pessoa como tarefa.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O roteiro em quatro passos é o do capítulo</w:t>
      </w:r>
      <w:r>
        <w:t xml:space="preserve"> </w:t>
      </w:r>
      <w:r>
        <w:rPr>
          <w:i/>
          <w:iCs/>
        </w:rPr>
        <w:t xml:space="preserve">Cada corpo, uma</w:t>
      </w:r>
      <w:r>
        <w:rPr>
          <w:i/>
          <w:iCs/>
        </w:rPr>
        <w:t xml:space="preserve"> </w:t>
      </w:r>
      <w:r>
        <w:rPr>
          <w:i/>
          <w:iCs/>
        </w:rPr>
        <w:t xml:space="preserve">aventura!</w:t>
      </w:r>
      <w:r>
        <w:t xml:space="preserve">; o exemplo do escalda-pés está em</w:t>
      </w:r>
      <w:r>
        <w:t xml:space="preserve"> </w:t>
      </w:r>
      <w:r>
        <w:rPr>
          <w:i/>
          <w:iCs/>
        </w:rPr>
        <w:t xml:space="preserve">Mão na massa</w:t>
      </w:r>
      <w:r>
        <w:t xml:space="preserve">, onde a família</w:t>
      </w:r>
      <w:r>
        <w:t xml:space="preserve"> </w:t>
      </w:r>
      <w:r>
        <w:t xml:space="preserve">inteira participa — o pai ajuda a levar a água.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