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Times New Roman" w:cs="Times New Roman" w:eastAsia="Times New Roman" w:hAnsi="Times New Roman"/>
          <w:b/>
          <w:bCs/>
          <w:color w:val="1F3864"/>
          <w:sz w:val="28"/>
          <w:szCs w:val="28"/>
        </w:rPr>
        <w:t xml:space="preserve">RINGKASAN EKSEKUTIF</w:t>
      </w:r>
    </w:p>
    <w:p>
      <w:pPr>
        <w:spacing w:after="100"/>
      </w:pPr>
      <w:r>
        <w:rPr>
          <w:sz w:val="24"/>
          <w:szCs w:val="24"/>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2E74B5" w:sz="4"/>
              <w:left w:val="thick" w:color="2E74B5" w:sz="12"/>
              <w:bottom w:val="single" w:color="2E74B5" w:sz="4"/>
              <w:right w:val="single" w:color="2E74B5" w:sz="4"/>
            </w:tcBorders>
            <w:shd w:fill="EBF3FB" w:val="clear"/>
            <w:tcMar>
              <w:top w:type="dxa" w:w="120"/>
              <w:left w:type="dxa" w:w="200"/>
              <w:bottom w:type="dxa" w:w="120"/>
              <w:right w:type="dxa" w:w="200"/>
            </w:tcMar>
          </w:tcPr>
          <w:p>
            <w:pPr>
              <w:spacing w:after="60"/>
            </w:pPr>
            <w:r>
              <w:rPr>
                <w:rFonts w:ascii="Times New Roman" w:cs="Times New Roman" w:eastAsia="Times New Roman" w:hAnsi="Times New Roman"/>
                <w:b/>
                <w:bCs/>
                <w:color w:val="2E74B5"/>
                <w:sz w:val="22"/>
                <w:szCs w:val="22"/>
              </w:rPr>
              <w:t xml:space="preserve">Catatan Lingkup Penelitian (Diploma 3)</w:t>
            </w:r>
          </w:p>
          <w:p>
            <w:pPr>
              <w:spacing w:after="40" w:line="440"/>
            </w:pPr>
            <w:r>
              <w:rPr>
                <w:rFonts w:ascii="Times New Roman" w:cs="Times New Roman" w:eastAsia="Times New Roman" w:hAnsi="Times New Roman"/>
                <w:sz w:val="22"/>
                <w:szCs w:val="22"/>
              </w:rPr>
              <w:t xml:space="preserve">Penelitian ini merupakan tugas akhir jenjang Diploma 3 (D3). Cakupan analisis</w:t>
            </w:r>
          </w:p>
          <w:p>
            <w:pPr>
              <w:spacing w:after="40" w:line="440"/>
            </w:pPr>
            <w:r>
              <w:rPr>
                <w:rFonts w:ascii="Times New Roman" w:cs="Times New Roman" w:eastAsia="Times New Roman" w:hAnsi="Times New Roman"/>
                <w:sz w:val="22"/>
                <w:szCs w:val="22"/>
              </w:rPr>
              <w:t xml:space="preserve">disesuaikan dengan kedalaman yang proporsional untuk tingkat D3, yaitu:</w:t>
            </w:r>
          </w:p>
          <w:p>
            <w:pPr>
              <w:spacing w:after="40" w:line="440"/>
            </w:pPr>
            <w:r>
              <w:rPr>
                <w:rFonts w:ascii="Times New Roman" w:cs="Times New Roman" w:eastAsia="Times New Roman" w:hAnsi="Times New Roman"/>
                <w:sz w:val="22"/>
                <w:szCs w:val="22"/>
              </w:rPr>
              <w:t xml:space="preserve">  (1) Klasterisasi K-Means sebagai metode pengelompokan utama, dan</w:t>
            </w:r>
          </w:p>
          <w:p>
            <w:pPr>
              <w:spacing w:after="40" w:line="440"/>
            </w:pPr>
            <w:r>
              <w:rPr>
                <w:rFonts w:ascii="Times New Roman" w:cs="Times New Roman" w:eastAsia="Times New Roman" w:hAnsi="Times New Roman"/>
                <w:sz w:val="22"/>
                <w:szCs w:val="22"/>
              </w:rPr>
              <w:t xml:space="preserve">  (2) Analisis tren linear sebagai pendekatan deret waktu.</w:t>
            </w:r>
          </w:p>
          <w:p>
            <w:pPr>
              <w:spacing w:after="40" w:line="440"/>
            </w:pPr>
            <w:r>
              <w:rPr>
                <w:rFonts w:ascii="Times New Roman" w:cs="Times New Roman" w:eastAsia="Times New Roman" w:hAnsi="Times New Roman"/>
                <w:sz w:val="22"/>
                <w:szCs w:val="22"/>
              </w:rPr>
              <w:t xml:space="preserve">Metode yang lebih kompleks seperti ARIMA, Prophet, atau ETS tidak diterapkan</w:t>
            </w:r>
          </w:p>
          <w:p>
            <w:pPr>
              <w:spacing w:after="40" w:line="440"/>
            </w:pPr>
            <w:r>
              <w:rPr>
                <w:rFonts w:ascii="Times New Roman" w:cs="Times New Roman" w:eastAsia="Times New Roman" w:hAnsi="Times New Roman"/>
                <w:sz w:val="22"/>
                <w:szCs w:val="22"/>
              </w:rPr>
              <w:t xml:space="preserve">karena keterbatasan jumlah data historis (5 titik waktu) dan batasan cakupan D3.</w:t>
            </w:r>
          </w:p>
        </w:tc>
      </w:tr>
    </w:tbl>
    <w:p>
      <w:pPr>
        <w:spacing w:after="100"/>
      </w:pPr>
      <w:r>
        <w:rPr>
          <w:sz w:val="24"/>
          <w:szCs w:val="24"/>
        </w:rPr>
        <w:t xml:space="preserve"/>
      </w:r>
    </w:p>
    <w:p>
      <w:pPr>
        <w:spacing w:after="100"/>
      </w:pPr>
      <w:r>
        <w:rPr>
          <w:sz w:val="24"/>
          <w:szCs w:val="24"/>
        </w:rPr>
        <w:t xml:space="preserve"/>
      </w:r>
    </w:p>
    <w:p>
      <w:pPr>
        <w:pStyle w:val="Heading2"/>
        <w:spacing w:after="160" w:before="280"/>
      </w:pPr>
      <w:r>
        <w:rPr>
          <w:rFonts w:ascii="Times New Roman" w:cs="Times New Roman" w:eastAsia="Times New Roman" w:hAnsi="Times New Roman"/>
          <w:b/>
          <w:bCs/>
          <w:color w:val="2E74B5"/>
          <w:sz w:val="26"/>
          <w:szCs w:val="26"/>
        </w:rPr>
        <w:t xml:space="preserve">1. Tujuan Penelitian</w:t>
      </w:r>
    </w:p>
    <w:p>
      <w:pPr>
        <w:spacing w:after="0" w:line="480"/>
        <w:ind w:firstLine="720"/>
        <w:jc w:val="both"/>
      </w:pPr>
      <w:r>
        <w:rPr>
          <w:rFonts w:ascii="Times New Roman" w:cs="Times New Roman" w:eastAsia="Times New Roman" w:hAnsi="Times New Roman"/>
          <w:sz w:val="24"/>
          <w:szCs w:val="24"/>
        </w:rPr>
        <w:t xml:space="preserve">Penelitian ini bertujuan untuk mengelompokkan Rukun Tetangga (RT) berdasarkan pola perubahan jumlah penduduk selama periode 2021 hingga 2025, serta mengidentifikasi tren pertumbuhan atau penurunan populasi pada setiap kelompok sebagai dasar rekomendasi kebijakan di tingkat wilayah.</w:t>
      </w:r>
    </w:p>
    <w:p>
      <w:pPr>
        <w:spacing w:after="100"/>
      </w:pPr>
      <w:r>
        <w:rPr>
          <w:sz w:val="24"/>
          <w:szCs w:val="24"/>
        </w:rPr>
        <w:t xml:space="preserve"/>
      </w:r>
    </w:p>
    <w:p>
      <w:pPr>
        <w:pStyle w:val="Heading2"/>
        <w:spacing w:after="160" w:before="280"/>
      </w:pPr>
      <w:r>
        <w:rPr>
          <w:rFonts w:ascii="Times New Roman" w:cs="Times New Roman" w:eastAsia="Times New Roman" w:hAnsi="Times New Roman"/>
          <w:b/>
          <w:bCs/>
          <w:color w:val="2E74B5"/>
          <w:sz w:val="26"/>
          <w:szCs w:val="26"/>
        </w:rPr>
        <w:t xml:space="preserve">2. Data yang Digunakan</w:t>
      </w:r>
    </w:p>
    <w:p>
      <w:pPr>
        <w:spacing w:after="0" w:line="480"/>
        <w:ind w:firstLine="720"/>
        <w:jc w:val="both"/>
      </w:pPr>
      <w:r>
        <w:rPr>
          <w:rFonts w:ascii="Times New Roman" w:cs="Times New Roman" w:eastAsia="Times New Roman" w:hAnsi="Times New Roman"/>
          <w:sz w:val="24"/>
          <w:szCs w:val="24"/>
        </w:rPr>
        <w:t xml:space="preserve">Data yang digunakan adalah data penduduk tahunan dari 35 RT, mencakup jumlah laki-laki dan perempuan untuk setiap tahun dari 2021 hingga 2025. Total observasi sebanyak 175 baris data dengan tidak ada nilai yang hilang (missing value).</w:t>
      </w:r>
    </w:p>
    <w:p>
      <w:pPr>
        <w:spacing w:after="100"/>
      </w:pPr>
      <w:r>
        <w:rPr>
          <w:sz w:val="24"/>
          <w:szCs w:val="24"/>
        </w:rPr>
        <w:t xml:space="preserve"/>
      </w:r>
    </w:p>
    <w:p>
      <w:pPr>
        <w:pStyle w:val="Heading2"/>
        <w:spacing w:after="160" w:before="280"/>
      </w:pPr>
      <w:r>
        <w:rPr>
          <w:rFonts w:ascii="Times New Roman" w:cs="Times New Roman" w:eastAsia="Times New Roman" w:hAnsi="Times New Roman"/>
          <w:b/>
          <w:bCs/>
          <w:color w:val="2E74B5"/>
          <w:sz w:val="26"/>
          <w:szCs w:val="26"/>
        </w:rPr>
        <w:t xml:space="preserve">3. Metode yang Dipilih dan Alasannya</w:t>
      </w:r>
    </w:p>
    <w:p>
      <w:pPr>
        <w:spacing w:after="0" w:line="480"/>
        <w:ind w:firstLine="720"/>
        <w:jc w:val="both"/>
      </w:pPr>
      <w:r>
        <w:rPr>
          <w:rFonts w:ascii="Times New Roman" w:cs="Times New Roman" w:eastAsia="Times New Roman" w:hAnsi="Times New Roman"/>
          <w:sz w:val="24"/>
          <w:szCs w:val="24"/>
        </w:rPr>
        <w:t xml:space="preserve">Pemilihan metode didasarkan pada karakteristik data dan batasan penelitian D3. Berikut pertimbangan pemilihan metode analisis deret waktu:</w:t>
      </w:r>
    </w:p>
    <w:p>
      <w:pPr>
        <w:spacing w:after="100"/>
      </w:pPr>
      <w:r>
        <w:rPr>
          <w:sz w:val="24"/>
          <w:szCs w:val="24"/>
        </w:rPr>
        <w:t xml:space="preserve"/>
      </w:r>
    </w:p>
    <w:p>
      <w:pPr>
        <w:spacing w:after="100" w:line="480"/>
        <w:jc w:val="both"/>
      </w:pPr>
      <w:r>
        <w:rPr>
          <w:rFonts w:ascii="Times New Roman" w:cs="Times New Roman" w:eastAsia="Times New Roman" w:hAnsi="Times New Roman"/>
          <w:b/>
          <w:bCs/>
          <w:sz w:val="24"/>
          <w:szCs w:val="24"/>
        </w:rPr>
        <w:t xml:space="preserve">Tabel 1. Perbandingan Kelayakan Metode Deret Waktu</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800"/>
      </w:tblGrid>
      <w:tr>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Metode</w:t>
            </w:r>
          </w:p>
        </w:tc>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Minimum Data</w:t>
            </w:r>
          </w:p>
        </w:tc>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Data Kamu</w:t>
            </w:r>
          </w:p>
        </w:tc>
        <w:tc>
          <w:tcPr>
            <w:tcW w:type="dxa" w:w="2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Kesimpulan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ARIMA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30–50 titik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5 titik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Tidak disarankan — data terlalu sedikit</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Prophet</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 tahun musiman</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5 titik</w:t>
            </w:r>
          </w:p>
        </w:tc>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Tidak relevan — tidak ada pola musiman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ETS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10–20 titik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5 titik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Masih di bawah minimum</w:t>
            </w:r>
          </w:p>
        </w:tc>
      </w:tr>
      <w:tr>
        <w:tc>
          <w:tcPr>
            <w:tcW w:type="dxa" w:w="20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Regresi Linear Tren</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5+ titik</w:t>
            </w:r>
          </w:p>
        </w:tc>
        <w:tc>
          <w:tcPr>
            <w:tcW w:type="dxa" w:w="1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5 titik (cukup)</w:t>
            </w:r>
          </w:p>
        </w:tc>
        <w:tc>
          <w:tcPr>
            <w:tcW w:type="dxa" w:w="280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Direkomendasikan untuk D3</w:t>
            </w:r>
          </w:p>
        </w:tc>
      </w:tr>
    </w:tbl>
    <w:p>
      <w:pPr>
        <w:spacing w:after="100"/>
      </w:pPr>
      <w:r>
        <w:rPr>
          <w:sz w:val="24"/>
          <w:szCs w:val="24"/>
        </w:rPr>
        <w:t xml:space="preserve"/>
      </w:r>
    </w:p>
    <w:p>
      <w:pPr>
        <w:spacing w:after="100"/>
      </w:pPr>
      <w:r>
        <w:rPr>
          <w:sz w:val="24"/>
          <w:szCs w:val="24"/>
        </w:rPr>
        <w:t xml:space="preserve"/>
      </w:r>
    </w:p>
    <w:p>
      <w:pPr>
        <w:spacing w:after="0" w:line="480"/>
        <w:ind w:firstLine="720"/>
        <w:jc w:val="both"/>
      </w:pPr>
      <w:r>
        <w:rPr>
          <w:rFonts w:ascii="Times New Roman" w:cs="Times New Roman" w:eastAsia="Times New Roman" w:hAnsi="Times New Roman"/>
          <w:sz w:val="24"/>
          <w:szCs w:val="24"/>
        </w:rPr>
        <w:t xml:space="preserve">Berdasarkan pertimbangan di atas, metode yang diterapkan dalam penelitian ini adalah:</w:t>
      </w:r>
    </w:p>
    <w:p>
      <w:pPr>
        <w:pStyle w:val="ListParagraph"/>
        <w:numPr>
          <w:ilvl w:val="0"/>
          <w:numId w:val="2"/>
        </w:numPr>
        <w:spacing w:after="0" w:line="480"/>
      </w:pPr>
      <w:r>
        <w:rPr>
          <w:rFonts w:ascii="Times New Roman" w:cs="Times New Roman" w:eastAsia="Times New Roman" w:hAnsi="Times New Roman"/>
          <w:sz w:val="24"/>
          <w:szCs w:val="24"/>
        </w:rPr>
        <w:t xml:space="preserve">K-Means Clustering — untuk pengelompokan RT berdasarkan kesamaan pola populasi.</w:t>
      </w:r>
    </w:p>
    <w:p>
      <w:pPr>
        <w:pStyle w:val="ListParagraph"/>
        <w:numPr>
          <w:ilvl w:val="0"/>
          <w:numId w:val="2"/>
        </w:numPr>
        <w:spacing w:after="0" w:line="480"/>
      </w:pPr>
      <w:r>
        <w:rPr>
          <w:rFonts w:ascii="Times New Roman" w:cs="Times New Roman" w:eastAsia="Times New Roman" w:hAnsi="Times New Roman"/>
          <w:sz w:val="24"/>
          <w:szCs w:val="24"/>
        </w:rPr>
        <w:t xml:space="preserve">Regresi Linear Tren per Klaster — untuk mengidentifikasi arah tren dan proyeksi jangka pendek 2026–2028.</w:t>
      </w:r>
    </w:p>
    <w:p>
      <w:pPr>
        <w:pStyle w:val="ListParagraph"/>
        <w:numPr>
          <w:ilvl w:val="0"/>
          <w:numId w:val="2"/>
        </w:numPr>
        <w:spacing w:after="0" w:line="480"/>
      </w:pPr>
      <w:r>
        <w:rPr>
          <w:rFonts w:ascii="Times New Roman" w:cs="Times New Roman" w:eastAsia="Times New Roman" w:hAnsi="Times New Roman"/>
          <w:sz w:val="24"/>
          <w:szCs w:val="24"/>
        </w:rPr>
        <w:t xml:space="preserve">Validasi klaster menggunakan Silhouette Score dan Davies-Bouldin Index.</w:t>
      </w:r>
    </w:p>
    <w:p>
      <w:pPr>
        <w:spacing w:after="100"/>
      </w:pPr>
      <w:r>
        <w:rPr>
          <w:sz w:val="24"/>
          <w:szCs w:val="24"/>
        </w:rPr>
        <w:t xml:space="preserve"/>
      </w:r>
    </w:p>
    <w:p>
      <w:pPr>
        <w:pStyle w:val="Heading2"/>
        <w:spacing w:after="160" w:before="280"/>
      </w:pPr>
      <w:r>
        <w:rPr>
          <w:rFonts w:ascii="Times New Roman" w:cs="Times New Roman" w:eastAsia="Times New Roman" w:hAnsi="Times New Roman"/>
          <w:b/>
          <w:bCs/>
          <w:color w:val="2E74B5"/>
          <w:sz w:val="26"/>
          <w:szCs w:val="26"/>
        </w:rPr>
        <w:t xml:space="preserve">4. Alur Analisis</w:t>
      </w:r>
    </w:p>
    <w:p>
      <w:pPr>
        <w:spacing w:after="100" w:line="480"/>
        <w:jc w:val="both"/>
      </w:pPr>
      <w:r>
        <w:rPr>
          <w:rFonts w:ascii="Times New Roman" w:cs="Times New Roman" w:eastAsia="Times New Roman" w:hAnsi="Times New Roman"/>
          <w:b/>
          <w:bCs/>
          <w:sz w:val="24"/>
          <w:szCs w:val="24"/>
        </w:rPr>
        <w:t xml:space="preserve">Tabel 2. Pipeline Analisis Penelitian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250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Tahap</w:t>
            </w:r>
          </w:p>
        </w:tc>
        <w:tc>
          <w:tcPr>
            <w:tcW w:type="dxa" w:w="3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Uraian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Output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Pra-pemrosesan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Hitung Total = Male + Female; cek missing value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DataFrame bersih</w:t>
            </w:r>
          </w:p>
        </w:tc>
      </w:tr>
      <w:tr>
        <w:tc>
          <w:tcPr>
            <w:tcW w:type="dxa" w:w="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Feature Engineering</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Tambah fitur: slope (tren linear), CV (volatilitas), rata-rata total</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Matriks fitur per RT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Normalisasi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StandardScaler — mean=0, std=1 (wajib sebelum K-Means)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Fitur terstandardisasi</w:t>
            </w:r>
          </w:p>
        </w:tc>
      </w:tr>
      <w:tr>
        <w:tc>
          <w:tcPr>
            <w:tcW w:type="dxa" w:w="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K-Means Clustering</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Tentukan K optimal (Elbow + Silhouette + DB); jalankan K-Means</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Label klaster per RT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Validasi Klaster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Silhouette Score + Davies-Bouldin Index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Konfirmasi K=7</w:t>
            </w:r>
          </w:p>
        </w:tc>
      </w:tr>
      <w:tr>
        <w:tc>
          <w:tcPr>
            <w:tcW w:type="dxa" w:w="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Visualisasi</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Line plot per klaster + heatmap RT x tahun</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Grafik laporan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Analisis Tren &amp; Proyeksi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Regresi linear per klaster; proyeksi 2026–2028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Tren &amp; forecast ringan</w:t>
            </w:r>
          </w:p>
        </w:tc>
      </w:tr>
    </w:tbl>
    <w:p>
      <w:pPr>
        <w:spacing w:after="100"/>
      </w:pPr>
      <w:r>
        <w:rPr>
          <w:sz w:val="24"/>
          <w:szCs w:val="24"/>
        </w:rPr>
        <w:t xml:space="preserve"/>
      </w:r>
    </w:p>
    <w:p>
      <w:pPr>
        <w:spacing w:after="100"/>
      </w:pPr>
      <w:r>
        <w:rPr>
          <w:sz w:val="24"/>
          <w:szCs w:val="24"/>
        </w:rPr>
        <w:t xml:space="preserve"/>
      </w:r>
    </w:p>
    <w:p>
      <w:pPr>
        <w:pStyle w:val="Heading2"/>
        <w:spacing w:after="160" w:before="280"/>
      </w:pPr>
      <w:r>
        <w:rPr>
          <w:rFonts w:ascii="Times New Roman" w:cs="Times New Roman" w:eastAsia="Times New Roman" w:hAnsi="Times New Roman"/>
          <w:b/>
          <w:bCs/>
          <w:color w:val="2E74B5"/>
          <w:sz w:val="26"/>
          <w:szCs w:val="26"/>
        </w:rPr>
        <w:t xml:space="preserve">5. Hasil Utama</w:t>
      </w:r>
    </w:p>
    <w:p>
      <w:pPr>
        <w:spacing w:after="0" w:line="480"/>
        <w:ind w:firstLine="720"/>
        <w:jc w:val="both"/>
      </w:pPr>
      <w:r>
        <w:rPr>
          <w:rFonts w:ascii="Times New Roman" w:cs="Times New Roman" w:eastAsia="Times New Roman" w:hAnsi="Times New Roman"/>
          <w:sz w:val="24"/>
          <w:szCs w:val="24"/>
        </w:rPr>
        <w:t xml:space="preserve">Klasterisasi K-Means dengan K=7 menghasilkan Silhouette Score 0,246 dan Davies-Bouldin Index 1,167. Tujuh klaster yang terbentuk merepresentasikan karakteristik tren populasi yang berbeda secara bermakna, mulai dari pertumbuhan kuat, stabil, hingga penurunan tajam.</w:t>
      </w:r>
    </w:p>
    <w:p>
      <w:pPr>
        <w:spacing w:after="100"/>
      </w:pPr>
      <w:r>
        <w:rPr>
          <w:sz w:val="24"/>
          <w:szCs w:val="24"/>
        </w:rPr>
        <w:t xml:space="preserve"/>
      </w:r>
    </w:p>
    <w:p>
      <w:pPr>
        <w:pStyle w:val="ListParagraph"/>
        <w:numPr>
          <w:ilvl w:val="0"/>
          <w:numId w:val="2"/>
        </w:numPr>
        <w:spacing w:after="0" w:line="480"/>
      </w:pPr>
      <w:r>
        <w:rPr>
          <w:rFonts w:ascii="Times New Roman" w:cs="Times New Roman" w:eastAsia="Times New Roman" w:hAnsi="Times New Roman"/>
          <w:sz w:val="24"/>
          <w:szCs w:val="24"/>
        </w:rPr>
        <w:t xml:space="preserve">Klaster 2 (13 RT, 37%) — pertumbuhan normal, baseline wilayah.</w:t>
      </w:r>
    </w:p>
    <w:p>
      <w:pPr>
        <w:pStyle w:val="ListParagraph"/>
        <w:numPr>
          <w:ilvl w:val="0"/>
          <w:numId w:val="2"/>
        </w:numPr>
        <w:spacing w:after="0" w:line="480"/>
      </w:pPr>
      <w:r>
        <w:rPr>
          <w:rFonts w:ascii="Times New Roman" w:cs="Times New Roman" w:eastAsia="Times New Roman" w:hAnsi="Times New Roman"/>
          <w:sz w:val="24"/>
          <w:szCs w:val="24"/>
        </w:rPr>
        <w:t xml:space="preserve">Klaster 3 &amp; 5 (4 RT) — pertumbuhan terkuat, prioritas infrastruktur.</w:t>
      </w:r>
    </w:p>
    <w:p>
      <w:pPr>
        <w:pStyle w:val="ListParagraph"/>
        <w:numPr>
          <w:ilvl w:val="0"/>
          <w:numId w:val="2"/>
        </w:numPr>
        <w:spacing w:after="0" w:line="480"/>
      </w:pPr>
      <w:r>
        <w:rPr>
          <w:rFonts w:ascii="Times New Roman" w:cs="Times New Roman" w:eastAsia="Times New Roman" w:hAnsi="Times New Roman"/>
          <w:sz w:val="24"/>
          <w:szCs w:val="24"/>
        </w:rPr>
        <w:t xml:space="preserve">Klaster 6 (4 RT) — penurunan populasi paling kritis, perlu intervensi segera.</w:t>
      </w:r>
    </w:p>
    <w:p>
      <w:pPr>
        <w:pStyle w:val="ListParagraph"/>
        <w:numPr>
          <w:ilvl w:val="0"/>
          <w:numId w:val="2"/>
        </w:numPr>
        <w:spacing w:after="0" w:line="480"/>
      </w:pPr>
      <w:r>
        <w:rPr>
          <w:rFonts w:ascii="Times New Roman" w:cs="Times New Roman" w:eastAsia="Times New Roman" w:hAnsi="Times New Roman"/>
          <w:sz w:val="24"/>
          <w:szCs w:val="24"/>
        </w:rPr>
        <w:t xml:space="preserve">Klaster 0 (5 RT) — penurunan sedang, perlu pemantauan proaktif.</w:t>
      </w:r>
    </w:p>
    <w:p>
      <w:pPr>
        <w:pStyle w:val="ListParagraph"/>
        <w:numPr>
          <w:ilvl w:val="0"/>
          <w:numId w:val="2"/>
        </w:numPr>
        <w:spacing w:after="0" w:line="480"/>
      </w:pPr>
      <w:r>
        <w:rPr>
          <w:rFonts w:ascii="Times New Roman" w:cs="Times New Roman" w:eastAsia="Times New Roman" w:hAnsi="Times New Roman"/>
          <w:sz w:val="24"/>
          <w:szCs w:val="24"/>
        </w:rPr>
        <w:t xml:space="preserve">Klaster 1 &amp; 4 (9 RT) — fluktuasi tinggi, perlu perencanaan adaptif.</w:t>
      </w:r>
    </w:p>
    <w:p>
      <w:pPr>
        <w:spacing w:after="100"/>
      </w:pPr>
      <w:r>
        <w:rPr>
          <w:sz w:val="24"/>
          <w:szCs w:val="24"/>
        </w:rPr>
        <w:t xml:space="preserve"/>
      </w:r>
    </w:p>
    <w:p>
      <w:pPr>
        <w:pStyle w:val="Heading2"/>
        <w:spacing w:after="160" w:before="280"/>
      </w:pPr>
      <w:r>
        <w:rPr>
          <w:rFonts w:ascii="Times New Roman" w:cs="Times New Roman" w:eastAsia="Times New Roman" w:hAnsi="Times New Roman"/>
          <w:b/>
          <w:bCs/>
          <w:color w:val="2E74B5"/>
          <w:sz w:val="26"/>
          <w:szCs w:val="26"/>
        </w:rPr>
        <w:t xml:space="preserve">6. Keterbatasan Penelitian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55A11" w:sz="4"/>
              <w:left w:val="thick" w:color="C55A11" w:sz="12"/>
              <w:bottom w:val="single" w:color="C55A11" w:sz="4"/>
              <w:right w:val="single" w:color="C55A11" w:sz="4"/>
            </w:tcBorders>
            <w:shd w:fill="FFF2E8" w:val="clear"/>
            <w:tcMar>
              <w:top w:type="dxa" w:w="120"/>
              <w:left w:type="dxa" w:w="200"/>
              <w:bottom w:type="dxa" w:w="120"/>
              <w:right w:type="dxa" w:w="200"/>
            </w:tcMar>
          </w:tcPr>
          <w:p>
            <w:pPr>
              <w:spacing w:after="60"/>
            </w:pPr>
            <w:r>
              <w:rPr>
                <w:rFonts w:ascii="Times New Roman" w:cs="Times New Roman" w:eastAsia="Times New Roman" w:hAnsi="Times New Roman"/>
                <w:b/>
                <w:bCs/>
                <w:color w:val="C55A11"/>
                <w:sz w:val="22"/>
                <w:szCs w:val="22"/>
              </w:rPr>
              <w:t xml:space="preserve">Batasan yang perlu dicantumkan di Bab 1 atau Bab 5</w:t>
            </w:r>
          </w:p>
          <w:p>
            <w:pPr>
              <w:spacing w:after="40" w:line="440"/>
            </w:pPr>
            <w:r>
              <w:rPr>
                <w:rFonts w:ascii="Times New Roman" w:cs="Times New Roman" w:eastAsia="Times New Roman" w:hAnsi="Times New Roman"/>
                <w:sz w:val="22"/>
                <w:szCs w:val="22"/>
              </w:rPr>
              <w:t xml:space="preserve">a) Data historis hanya mencakup 5 tahun (2021-2025), sehingga proyeksi tren</w:t>
            </w:r>
          </w:p>
          <w:p>
            <w:pPr>
              <w:spacing w:after="40" w:line="440"/>
            </w:pPr>
            <w:r>
              <w:rPr>
                <w:rFonts w:ascii="Times New Roman" w:cs="Times New Roman" w:eastAsia="Times New Roman" w:hAnsi="Times New Roman"/>
                <w:sz w:val="22"/>
                <w:szCs w:val="22"/>
              </w:rPr>
              <w:t xml:space="preserve">   bersifat indikatif dan belum dapat menangkap pola musiman atau siklus jangka</w:t>
            </w:r>
          </w:p>
          <w:p>
            <w:pPr>
              <w:spacing w:after="40" w:line="440"/>
            </w:pPr>
            <w:r>
              <w:rPr>
                <w:rFonts w:ascii="Times New Roman" w:cs="Times New Roman" w:eastAsia="Times New Roman" w:hAnsi="Times New Roman"/>
                <w:sz w:val="22"/>
                <w:szCs w:val="22"/>
              </w:rPr>
              <w:t xml:space="preserve">   panjang.</w:t>
            </w:r>
          </w:p>
          <w:p>
            <w:pPr>
              <w:spacing w:after="40" w:line="440"/>
            </w:pPr>
            <w:r>
              <w:rPr>
                <w:rFonts w:ascii="Times New Roman" w:cs="Times New Roman" w:eastAsia="Times New Roman" w:hAnsi="Times New Roman"/>
                <w:sz w:val="22"/>
                <w:szCs w:val="22"/>
              </w:rPr>
              <w:t xml:space="preserve"/>
            </w:r>
          </w:p>
          <w:p>
            <w:pPr>
              <w:spacing w:after="40" w:line="440"/>
            </w:pPr>
            <w:r>
              <w:rPr>
                <w:rFonts w:ascii="Times New Roman" w:cs="Times New Roman" w:eastAsia="Times New Roman" w:hAnsi="Times New Roman"/>
                <w:sz w:val="22"/>
                <w:szCs w:val="22"/>
              </w:rPr>
              <w:t xml:space="preserve">b) Metode analisis deret waktu dibatasi pada regresi linear. Metode statistik</w:t>
            </w:r>
          </w:p>
          <w:p>
            <w:pPr>
              <w:spacing w:after="40" w:line="440"/>
            </w:pPr>
            <w:r>
              <w:rPr>
                <w:rFonts w:ascii="Times New Roman" w:cs="Times New Roman" w:eastAsia="Times New Roman" w:hAnsi="Times New Roman"/>
                <w:sz w:val="22"/>
                <w:szCs w:val="22"/>
              </w:rPr>
              <w:t xml:space="preserve">   lanjutan seperti ARIMA atau model machine learning tidak diterapkan karena</w:t>
            </w:r>
          </w:p>
          <w:p>
            <w:pPr>
              <w:spacing w:after="40" w:line="440"/>
            </w:pPr>
            <w:r>
              <w:rPr>
                <w:rFonts w:ascii="Times New Roman" w:cs="Times New Roman" w:eastAsia="Times New Roman" w:hAnsi="Times New Roman"/>
                <w:sz w:val="22"/>
                <w:szCs w:val="22"/>
              </w:rPr>
              <w:t xml:space="preserve">   memerlukan data historis yang lebih panjang dan berada di luar cakupan D3.</w:t>
            </w:r>
          </w:p>
          <w:p>
            <w:pPr>
              <w:spacing w:after="40" w:line="440"/>
            </w:pPr>
            <w:r>
              <w:rPr>
                <w:rFonts w:ascii="Times New Roman" w:cs="Times New Roman" w:eastAsia="Times New Roman" w:hAnsi="Times New Roman"/>
                <w:sz w:val="22"/>
                <w:szCs w:val="22"/>
              </w:rPr>
              <w:t xml:space="preserve"/>
            </w:r>
          </w:p>
          <w:p>
            <w:pPr>
              <w:spacing w:after="40" w:line="440"/>
            </w:pPr>
            <w:r>
              <w:rPr>
                <w:rFonts w:ascii="Times New Roman" w:cs="Times New Roman" w:eastAsia="Times New Roman" w:hAnsi="Times New Roman"/>
                <w:sz w:val="22"/>
                <w:szCs w:val="22"/>
              </w:rPr>
              <w:t xml:space="preserve">c) Nilai Silhouette Score sebesar 0,246 tergolong moderat, mencerminkan</w:t>
            </w:r>
          </w:p>
          <w:p>
            <w:pPr>
              <w:spacing w:after="40" w:line="440"/>
            </w:pPr>
            <w:r>
              <w:rPr>
                <w:rFonts w:ascii="Times New Roman" w:cs="Times New Roman" w:eastAsia="Times New Roman" w:hAnsi="Times New Roman"/>
                <w:sz w:val="22"/>
                <w:szCs w:val="22"/>
              </w:rPr>
              <w:t xml:space="preserve">   heterogenitas data populasi yang wajar, namun mengindikasikan bahwa batas</w:t>
            </w:r>
          </w:p>
          <w:p>
            <w:pPr>
              <w:spacing w:after="40" w:line="440"/>
            </w:pPr>
            <w:r>
              <w:rPr>
                <w:rFonts w:ascii="Times New Roman" w:cs="Times New Roman" w:eastAsia="Times New Roman" w:hAnsi="Times New Roman"/>
                <w:sz w:val="22"/>
                <w:szCs w:val="22"/>
              </w:rPr>
              <w:t xml:space="preserve">   antar klaster tidak bersifat tegas.</w:t>
            </w:r>
          </w:p>
          <w:p>
            <w:pPr>
              <w:spacing w:after="40" w:line="440"/>
            </w:pPr>
            <w:r>
              <w:rPr>
                <w:rFonts w:ascii="Times New Roman" w:cs="Times New Roman" w:eastAsia="Times New Roman" w:hAnsi="Times New Roman"/>
                <w:sz w:val="22"/>
                <w:szCs w:val="22"/>
              </w:rPr>
              <w:t xml:space="preserve"/>
            </w:r>
          </w:p>
          <w:p>
            <w:pPr>
              <w:spacing w:after="40" w:line="440"/>
            </w:pPr>
            <w:r>
              <w:rPr>
                <w:rFonts w:ascii="Times New Roman" w:cs="Times New Roman" w:eastAsia="Times New Roman" w:hAnsi="Times New Roman"/>
                <w:sz w:val="22"/>
                <w:szCs w:val="22"/>
              </w:rPr>
              <w:t xml:space="preserve">d) Data tidak mencakup faktor eksternal seperti kondisi ekonomi, migrasi,</w:t>
            </w:r>
          </w:p>
          <w:p>
            <w:pPr>
              <w:spacing w:after="40" w:line="440"/>
            </w:pPr>
            <w:r>
              <w:rPr>
                <w:rFonts w:ascii="Times New Roman" w:cs="Times New Roman" w:eastAsia="Times New Roman" w:hAnsi="Times New Roman"/>
                <w:sz w:val="22"/>
                <w:szCs w:val="22"/>
              </w:rPr>
              <w:t xml:space="preserve">   atau kebijakan tata ruang yang dapat mempengaruhi dinamika populasi.</w:t>
            </w:r>
          </w:p>
        </w:tc>
      </w:tr>
    </w:tbl>
    <w:p>
      <w:pPr>
        <w:spacing w:after="100"/>
      </w:pPr>
      <w:r>
        <w:rPr>
          <w:sz w:val="24"/>
          <w:szCs w:val="24"/>
        </w:rPr>
        <w:t xml:space="preserve"/>
      </w:r>
    </w:p>
    <w:p>
      <w:pPr>
        <w:spacing w:after="100"/>
      </w:pPr>
      <w:r>
        <w:rPr>
          <w:sz w:val="24"/>
          <w:szCs w:val="24"/>
        </w:rPr>
        <w:t xml:space="preserve"/>
      </w:r>
    </w:p>
    <w:p>
      <w:pPr>
        <w:pStyle w:val="Heading2"/>
        <w:spacing w:after="160" w:before="280"/>
      </w:pPr>
      <w:r>
        <w:rPr>
          <w:rFonts w:ascii="Times New Roman" w:cs="Times New Roman" w:eastAsia="Times New Roman" w:hAnsi="Times New Roman"/>
          <w:b/>
          <w:bCs/>
          <w:color w:val="2E74B5"/>
          <w:sz w:val="26"/>
          <w:szCs w:val="26"/>
        </w:rPr>
        <w:t xml:space="preserve">7. Referensi Utama</w:t>
      </w:r>
    </w:p>
    <w:p>
      <w:pPr>
        <w:spacing w:after="100" w:line="480"/>
        <w:jc w:val="both"/>
      </w:pPr>
      <w:r>
        <w:rPr>
          <w:rFonts w:ascii="Times New Roman" w:cs="Times New Roman" w:eastAsia="Times New Roman" w:hAnsi="Times New Roman"/>
          <w:sz w:val="24"/>
          <w:szCs w:val="24"/>
        </w:rPr>
        <w:t xml:space="preserve">Rousseeuw, P. J. (1987). Silhouettes: A graphical aid to the interpretation and validation of cluster analysis. Computational and Applied Mathematics, 20, 53-65.</w:t>
      </w:r>
    </w:p>
    <w:p>
      <w:pPr>
        <w:spacing w:after="100"/>
      </w:pPr>
      <w:r>
        <w:rPr>
          <w:sz w:val="24"/>
          <w:szCs w:val="24"/>
        </w:rPr>
        <w:t xml:space="preserve"/>
      </w:r>
    </w:p>
    <w:p>
      <w:pPr>
        <w:spacing w:after="100" w:line="480"/>
        <w:jc w:val="both"/>
      </w:pPr>
      <w:r>
        <w:rPr>
          <w:rFonts w:ascii="Times New Roman" w:cs="Times New Roman" w:eastAsia="Times New Roman" w:hAnsi="Times New Roman"/>
          <w:sz w:val="24"/>
          <w:szCs w:val="24"/>
        </w:rPr>
        <w:t xml:space="preserve">Davies, D. L., &amp; Bouldin, D. W. (1979). A cluster separation measure. IEEE Transactions on Pattern Analysis and Machine Intelligence, PAMI-1(2), 224-227.</w:t>
      </w:r>
    </w:p>
    <w:p>
      <w:pPr>
        <w:spacing w:after="100"/>
      </w:pPr>
      <w:r>
        <w:rPr>
          <w:sz w:val="24"/>
          <w:szCs w:val="24"/>
        </w:rPr>
        <w:t xml:space="preserve"/>
      </w:r>
    </w:p>
    <w:p>
      <w:pPr>
        <w:spacing w:after="100" w:line="480"/>
        <w:jc w:val="both"/>
      </w:pPr>
      <w:r>
        <w:rPr>
          <w:rFonts w:ascii="Times New Roman" w:cs="Times New Roman" w:eastAsia="Times New Roman" w:hAnsi="Times New Roman"/>
          <w:sz w:val="24"/>
          <w:szCs w:val="24"/>
        </w:rPr>
        <w:t xml:space="preserve">Pedregosa, F., et al. (2011). Scikit-learn: Machine learning in Python. Journal of Machine Learning Research, 12, 2825-2830.</w:t>
      </w:r>
    </w:p>
    <w:p>
      <w:pPr>
        <w:spacing w:after="100"/>
      </w:pPr>
      <w:r>
        <w:rPr>
          <w:sz w:val="24"/>
          <w:szCs w:val="24"/>
        </w:rPr>
        <w:t xml:space="preserve"/>
      </w:r>
    </w:p>
    <w:p>
      <w:pPr>
        <w:spacing w:after="100" w:line="480"/>
        <w:jc w:val="both"/>
      </w:pPr>
      <w:r>
        <w:rPr>
          <w:rFonts w:ascii="Times New Roman" w:cs="Times New Roman" w:eastAsia="Times New Roman" w:hAnsi="Times New Roman"/>
          <w:sz w:val="24"/>
          <w:szCs w:val="24"/>
        </w:rPr>
        <w:t xml:space="preserve">Hyndman, R. J., &amp; Athanasopoulos, G. (2021). Forecasting: Principles and Practice (3rd ed.). OTexts. https://otexts.com/fpp3/</w:t>
      </w:r>
    </w:p>
    <w:p>
      <w:pPr>
        <w:spacing w:after="100"/>
      </w:pPr>
      <w:r>
        <w:rPr>
          <w:sz w:val="24"/>
          <w:szCs w:val="24"/>
        </w:rPr>
        <w:t xml:space="preserve"/>
      </w:r>
    </w:p>
    <w:sectPr>
      <w:pgSz w:w="11906" w:h="16838" w:orient="portrait"/>
      <w:pgMar w:top="1440" w:right="1296"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2026-04-06T03:00:59.248Z</dcterms:created>
  <dcterms:modified xsi:type="dcterms:W3CDTF">2026-04-06T03:00:59.250Z</dcterms:modified>
</cp:coreProperties>
</file>

<file path=docProps/custom.xml><?xml version="1.0" encoding="utf-8"?>
<Properties xmlns="http://schemas.openxmlformats.org/officeDocument/2006/custom-properties" xmlns:vt="http://schemas.openxmlformats.org/officeDocument/2006/docPropsVTypes"/>
</file>