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Título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“Desejos mundanos são iluminação” e “sofrimentos do nascimento e da morte são nirvana”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Kuon ganjo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é desfrutar a vida “eterna” a cada instante 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Redação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Budismo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20112017-budismo-Desejos-mundanos-sao-iluminacao-e-sofrimentos-do-nascimento-e-da-morte-sao-nirvana.jpg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hyperlink r:id="rId5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Os Fundamentos do Budismo de Nichiren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Nam-myoho-renge-kyo; vida; morte; Gohonzon, buda, daimoku; Ikeda; Iluminação; energia vital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O </w:t>
      </w:r>
      <w:hyperlink r:id="rId6">
        <w:r w:rsidDel="00000000" w:rsidR="00000000" w:rsidRPr="00000000">
          <w:rPr>
            <w:rFonts w:ascii="Calibri" w:cs="Calibri" w:eastAsia="Calibri" w:hAnsi="Calibri"/>
            <w:color w:val="000000"/>
            <w:highlight w:val="white"/>
            <w:rtl w:val="0"/>
          </w:rPr>
          <w:t xml:space="preserve">Sutra do Lótus</w:t>
        </w:r>
      </w:hyperlink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elucida que todos os seres humanos podem manifestar a condição de vida de sabedoria e compaixão inerente a si mesmos, chamada de </w:t>
      </w:r>
      <w:hyperlink r:id="rId7">
        <w:r w:rsidDel="00000000" w:rsidR="00000000" w:rsidRPr="00000000">
          <w:rPr>
            <w:rFonts w:ascii="Calibri" w:cs="Calibri" w:eastAsia="Calibri" w:hAnsi="Calibri"/>
            <w:color w:val="000000"/>
            <w:highlight w:val="white"/>
            <w:rtl w:val="0"/>
          </w:rPr>
          <w:t xml:space="preserve">estado de buda</w:t>
        </w:r>
      </w:hyperlink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Mesmo sendo um mortal comum cercado de </w:t>
      </w:r>
      <w:hyperlink r:id="rId8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desejos mundanos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com acúmulo de </w:t>
      </w:r>
      <w:hyperlink r:id="rId9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carma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 negativos, e vivendo num mundo de tormenta e sofrimentos, quando se desperta para a verdade de que sua vida possui o </w:t>
      </w:r>
      <w:hyperlink r:id="rId10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estado de buda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intrínseco, ele poderá manifestar a sabedoria da iluminação do </w:t>
      </w:r>
      <w:hyperlink r:id="rId11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Buda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libertar-se dos sofrimentos e conquistar uma condição de completa liberdade. Este é o significado do princípio de “</w:t>
      </w:r>
      <w:hyperlink r:id="rId12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desejos mundanos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são iluminação”.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Nichiren Daishonin indica que o </w:t>
      </w:r>
      <w:hyperlink r:id="rId13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estado de buda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que existe no seu interior é o </w:t>
      </w:r>
      <w:hyperlink r:id="rId14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Quando acreditamos no </w:t>
      </w:r>
      <w:hyperlink r:id="rId15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Gohonzon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do </w:t>
      </w:r>
      <w:hyperlink r:id="rId16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recitamos o </w:t>
      </w:r>
      <w:hyperlink r:id="rId17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e despertamos para o sublime verdadeiro “eu”, surgem a sabedoria para perseverar na vida, a convicção e coragem para desafiar e ultrapassar os obstáculos, e a compaixão para se preocupar com o próximo.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“Sofrimentos do nascimento e morte são </w:t>
      </w: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000000"/>
            <w:rtl w:val="0"/>
          </w:rPr>
          <w:t xml:space="preserve">nirvana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” indica que mesmo em uma condição de vida de sofrimento causada pela realidade dolorosa do nascimento e morte, quando recitamos o </w:t>
      </w:r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 com fé no </w:t>
      </w: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000000"/>
            <w:rtl w:val="0"/>
          </w:rPr>
          <w:t xml:space="preserve">Gohonzon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, podemos manifestar e revelar em nossa vida, a condição de tranquilidade (</w:t>
      </w: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000000"/>
            <w:rtl w:val="0"/>
          </w:rPr>
          <w:t xml:space="preserve">nirvana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) do estado de iluminação do </w:t>
      </w:r>
      <w:hyperlink r:id="rId22">
        <w:r w:rsidDel="00000000" w:rsidR="00000000" w:rsidRPr="00000000">
          <w:rPr>
            <w:rFonts w:ascii="Calibri" w:cs="Calibri" w:eastAsia="Calibri" w:hAnsi="Calibri"/>
            <w:b w:val="1"/>
            <w:color w:val="000000"/>
            <w:rtl w:val="0"/>
          </w:rPr>
          <w:t xml:space="preserve">Buda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Os princípios de “</w:t>
      </w:r>
      <w:hyperlink r:id="rId23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desejos mundanos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são iluminação” e “sofrimentos do nascimento e morte são </w:t>
      </w:r>
      <w:hyperlink r:id="rId24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nirvana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” ensinam que quando nos levantamos com base na fé na </w:t>
      </w:r>
      <w:hyperlink r:id="rId25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Lei Mística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podemos conduzir uma vida proativa, transformando todo e qualquer sofrimento em causa para nosso próprio crescimento e felicidade.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segundo presidente da Soka Gakkai, </w:t>
      </w:r>
      <w:hyperlink r:id="rId26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Josei Toda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afirmava que há dois tipos de felicidade: a relativa e a absoluta.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felicidade relativa indica a satisfação de uma conquista material ou de algo que tanto se deseja. Porém, essa satisfação não é duradoura, pois não há limites para os desejos. É chamada de felicidade relativa por existir somente em função de fatores externos.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Em contrapartida, a felicidade absoluta indica uma condição de vida de plenitude que não está presa a fatores externos, e sim, manifesta-se pelo simples fato de estar vivendo. É chamada de felicidade absoluta por não ser influenciada por condições externas. </w:t>
      </w:r>
      <w:hyperlink r:id="rId27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Atingir o estado de buda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significa estabelecer essa condição de felicidade absoluta.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Uma pessoa que estabeleceu uma condição de felicidade absoluta em sua vida pode ultrapassar tranquilamente mesmo as maiores adversidades, manifestando uma forte energia vital e transformando as dificuldades numa mola propulsora para seu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50" w:before="0" w:lineRule="auto"/>
        <w:contextualSpacing w:val="0"/>
        <w:rPr>
          <w:rFonts w:ascii="Calibri" w:cs="Calibri" w:eastAsia="Calibri" w:hAnsi="Calibri"/>
          <w:color w:val="000000"/>
        </w:rPr>
      </w:pPr>
      <w:bookmarkStart w:colFirst="0" w:colLast="0" w:name="_tzpwbj6s0gz1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 outro ponto de vista, a felicidade relativa que depende do ambiente desaparece com a morte. Porém, conforme Daishonin afirma em seus escritos – “Passando pelos ciclos de nascimento e morte, a pessoa faz seu caminho pela terra da natureza do </w:t>
      </w:r>
      <w:hyperlink r:id="rId28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Darma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ou iluminação, que é inerente a ela” (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Registro dos Ensinamentos Transmitidos Oralmente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OTT, p. 52) –, a felicidade absoluta, que é a condição de vida do </w:t>
      </w:r>
      <w:hyperlink r:id="rId29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Buda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é eterna, capaz de transcender até mesmo a morte.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eikyopost.com.br/budismo/glossario#p-gohonzon" TargetMode="External"/><Relationship Id="rId22" Type="http://schemas.openxmlformats.org/officeDocument/2006/relationships/hyperlink" Target="http://www.seikyopost.com.br/budismo/glossario#p-buda" TargetMode="External"/><Relationship Id="rId21" Type="http://schemas.openxmlformats.org/officeDocument/2006/relationships/hyperlink" Target="http://www.seikyopost.com.br/budismo/glossario#p-nirvana" TargetMode="External"/><Relationship Id="rId24" Type="http://schemas.openxmlformats.org/officeDocument/2006/relationships/hyperlink" Target="http://www.seikyopost.com.br/budismo/glossario#p-nirvana" TargetMode="External"/><Relationship Id="rId23" Type="http://schemas.openxmlformats.org/officeDocument/2006/relationships/hyperlink" Target="http://www.seikyopost.com.br/budismo/glossario#p-desejos-mundano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eikyopost.com.br/budismo/glossario#p-carma" TargetMode="External"/><Relationship Id="rId26" Type="http://schemas.openxmlformats.org/officeDocument/2006/relationships/hyperlink" Target="http://www.seikyopost.com.br/budismo/glossario#p-josei-toda" TargetMode="External"/><Relationship Id="rId25" Type="http://schemas.openxmlformats.org/officeDocument/2006/relationships/hyperlink" Target="http://www.seikyopost.com.br/budismo/glossario#p-lei-m%C3%ADstica" TargetMode="External"/><Relationship Id="rId28" Type="http://schemas.openxmlformats.org/officeDocument/2006/relationships/hyperlink" Target="http://www.seikyopost.com.br/budismo/glossario#p-darma" TargetMode="External"/><Relationship Id="rId27" Type="http://schemas.openxmlformats.org/officeDocument/2006/relationships/hyperlink" Target="http://www.seikyopost.com.br/budismo/glossario#p-atingir-o-estado-de-buda" TargetMode="External"/><Relationship Id="rId5" Type="http://schemas.openxmlformats.org/officeDocument/2006/relationships/hyperlink" Target="https://www.livrariapearl.com.br/produto/Lan%C3%A7amentos/Livros/Os-Fundamentos-do-Budismo-de-Nichiren-para-a-Nova-/1242/0/1242" TargetMode="External"/><Relationship Id="rId6" Type="http://schemas.openxmlformats.org/officeDocument/2006/relationships/hyperlink" Target="http://www.seikyopost.com.br/budismo/glossario#p-sutra-do-l%C3%B3tus" TargetMode="External"/><Relationship Id="rId29" Type="http://schemas.openxmlformats.org/officeDocument/2006/relationships/hyperlink" Target="http://www.seikyopost.com.br/budismo/glossario#p-buda" TargetMode="External"/><Relationship Id="rId7" Type="http://schemas.openxmlformats.org/officeDocument/2006/relationships/hyperlink" Target="http://www.seikyopost.com.br/budismo/glossario#p-estado-de-buda" TargetMode="External"/><Relationship Id="rId8" Type="http://schemas.openxmlformats.org/officeDocument/2006/relationships/hyperlink" Target="http://www.seikyopost.com.br/budismo/glossario#p-desejos-mundanos" TargetMode="External"/><Relationship Id="rId11" Type="http://schemas.openxmlformats.org/officeDocument/2006/relationships/hyperlink" Target="http://www.seikyopost.com.br/budismo/glossario#p-buda" TargetMode="External"/><Relationship Id="rId10" Type="http://schemas.openxmlformats.org/officeDocument/2006/relationships/hyperlink" Target="http://www.seikyopost.com.br/budismo/glossario#p-estado-de-buda" TargetMode="External"/><Relationship Id="rId13" Type="http://schemas.openxmlformats.org/officeDocument/2006/relationships/hyperlink" Target="http://www.seikyopost.com.br/budismo/glossario#p-estado-de-buda" TargetMode="External"/><Relationship Id="rId12" Type="http://schemas.openxmlformats.org/officeDocument/2006/relationships/hyperlink" Target="http://www.seikyopost.com.br/budismo/glossario#p-desejos-mundanos" TargetMode="External"/><Relationship Id="rId15" Type="http://schemas.openxmlformats.org/officeDocument/2006/relationships/hyperlink" Target="http://www.seikyopost.com.br/budismo/glossario#p-gohonzon" TargetMode="External"/><Relationship Id="rId14" Type="http://schemas.openxmlformats.org/officeDocument/2006/relationships/hyperlink" Target="http://www.seikyopost.com.br/budismo/glossario#p-nam-myoho-renge-kyo" TargetMode="External"/><Relationship Id="rId17" Type="http://schemas.openxmlformats.org/officeDocument/2006/relationships/hyperlink" Target="http://www.seikyopost.com.br/budismo/glossario#p-daimoku" TargetMode="External"/><Relationship Id="rId16" Type="http://schemas.openxmlformats.org/officeDocument/2006/relationships/hyperlink" Target="http://www.seikyopost.com.br/budismo/glossario#p-nam-myoho-renge-kyo" TargetMode="External"/><Relationship Id="rId19" Type="http://schemas.openxmlformats.org/officeDocument/2006/relationships/hyperlink" Target="http://www.seikyopost.com.br/budismo/glossario#p-nam-myoho-renge-kyo" TargetMode="External"/><Relationship Id="rId18" Type="http://schemas.openxmlformats.org/officeDocument/2006/relationships/hyperlink" Target="http://www.seikyopost.com.br/budismo/glossario#p-nirvana" TargetMode="External"/></Relationships>
</file>