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Tudo começa com daimoku 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Gohonzon é a expressão perfeita da vida de um ser humano comum, com todas as suas qualidades e defeitos.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Dr. Daisaku Ikeda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20112017-budismo-Tudo-comeca-com-daimoku.jpg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12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Terceira Civilização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ed. 574, 11 jun. 2016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Oração; daimoku; Nam-myoho-renge-kyo; Gohonzon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Nos momentos difíceis, tenha a coragem de decidir: “Nunca mais vou passar por este sofrimento”. Com esta decisão, você está apto a recitar </w:t>
      </w:r>
      <w:hyperlink r:id="rId5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como primeiro passo para transformar essa determinação em ação.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recitado com fé ao </w:t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acessa a fonte da energia vital existente dentro do ser humano. Dessa fonte surge tudo aquilo que necessitamos para começar a agir e conquistar o que desejamos.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 você não sabe como agir, por exemplo, faça 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para acessar a fonte da energia vital dentro de si e extraia sabedoria. Não acredita? É exatamente esse o ponto. O que conecta o 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com essa fonte da energia vital é a “fé no </w:t>
      </w:r>
      <w:hyperlink r:id="rId10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”. Essa fé é a própria iluminação e o 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cumpre seu papel quando recitado com uma fé mais forte que os problemas.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Ter “fé no </w:t>
      </w:r>
      <w:hyperlink r:id="rId12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 é acreditar que a </w:t>
      </w:r>
      <w:hyperlink r:id="rId13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que abarca e sustenta todas as coisas no universo é sua própria vida. Ela existe dentro de você. Em outras palavras, é recitar </w:t>
      </w:r>
      <w:hyperlink r:id="rId14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acreditando que o </w:t>
      </w:r>
      <w:hyperlink r:id="rId15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é sua própria vida.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Gohonzon é a expressão perfeita da vida de um ser humano comum, com todas as suas qualidades e defeitos, iluminado pela “fé no </w:t>
      </w:r>
      <w:hyperlink r:id="rId16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”. É esse objeto de devoção [</w:t>
      </w:r>
      <w:hyperlink r:id="rId1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] que nos ajuda a encontrar e manifestar a </w:t>
      </w:r>
      <w:hyperlink r:id="rId18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que está dentro de nós. Por isso, o </w:t>
      </w:r>
      <w:hyperlink r:id="rId19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é definido como “objeto de devoção para observação da mente”.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Repetir simplesmente “</w:t>
      </w:r>
      <w:hyperlink r:id="rId20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 diante do </w:t>
      </w:r>
      <w:hyperlink r:id="rId21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não é o que produz benefícios. O segredo não está na repetição por horas seguidas, está na qualidade da fé. (Nunca use isto como justificativa para fazer pouco </w:t>
      </w:r>
      <w:hyperlink r:id="rId22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!)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fé no </w:t>
      </w:r>
      <w:hyperlink r:id="rId23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Gohonzon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possui importância primordial. É ela que qualifica a “repetição do </w:t>
      </w:r>
      <w:hyperlink r:id="rId24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” como </w:t>
      </w:r>
      <w:hyperlink r:id="rId25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Se essa fé não for correta, não existe </w:t>
      </w:r>
      <w:hyperlink r:id="rId26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Nichiren Daishonin adverte rigorosamente: “Mesmo que recite e acredite no </w:t>
      </w:r>
      <w:hyperlink r:id="rId2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se pensa que a Lei existe fora do seu coração, o senhor não está abraçando a </w:t>
      </w:r>
      <w:hyperlink r:id="rId28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mas um ensinamento inferior.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Quando a pessoa que recita </w:t>
      </w:r>
      <w:hyperlink r:id="rId29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acredita que a </w:t>
      </w:r>
      <w:hyperlink r:id="rId30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é sua própria vida, ela direciona o </w:t>
      </w:r>
      <w:hyperlink r:id="rId31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para dentro e não para fora, como normalmente acreditamos que as orações funcionam. Direcionar </w:t>
      </w:r>
      <w:hyperlink r:id="rId32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para dentro cria condições para que a recitação do </w:t>
      </w:r>
      <w:hyperlink r:id="rId33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traga a Lei para fora na forma de iluminação (felicidade absoluta).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Uma vez iluminada, é essa atitude devotada (Nam) que realiza a fusão da vida do indivíduo com a grande vida do universo (</w:t>
      </w:r>
      <w:hyperlink r:id="rId34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). A engrenagem do eu menor (microcosmo) se encaixa com a engrenagem do eu maior (macrocosmo). A engrenagem menor adquire a força da maior.</w:t>
      </w:r>
    </w:p>
    <w:p w:rsidR="00000000" w:rsidDel="00000000" w:rsidP="00000000" w:rsidRDefault="00000000" w:rsidRPr="00000000">
      <w:pPr>
        <w:shd w:fill="ffffff" w:val="clear"/>
        <w:spacing w:after="15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 + </w:t>
      </w:r>
      <w:hyperlink r:id="rId35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= a fusão da atitude (devoção ou Nam) com a </w:t>
      </w:r>
      <w:hyperlink r:id="rId36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Lei Mística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</w:t>
      </w:r>
      <w:hyperlink r:id="rId37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 </w:t>
      </w:r>
      <w:hyperlink r:id="rId38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é uma atitude de fé que se estende da recitação (determinação) à propagação do </w:t>
      </w:r>
      <w:hyperlink r:id="rId39">
        <w:r w:rsidDel="00000000" w:rsidR="00000000" w:rsidRPr="00000000">
          <w:rPr>
            <w:rFonts w:ascii="Calibri" w:cs="Calibri" w:eastAsia="Calibri" w:hAnsi="Calibri"/>
            <w:color w:val="000000"/>
            <w:rtl w:val="0"/>
          </w:rPr>
          <w:t xml:space="preserve">Nam-myoho-renge-kyo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(ação). Por essa razão, o </w:t>
      </w:r>
      <w:hyperlink r:id="rId40">
        <w:r w:rsidDel="00000000" w:rsidR="00000000" w:rsidRPr="00000000">
          <w:rPr>
            <w:rFonts w:ascii="Calibri" w:cs="Calibri" w:eastAsia="Calibri" w:hAnsi="Calibri"/>
            <w:i w:val="1"/>
            <w:color w:val="000000"/>
            <w:rtl w:val="0"/>
          </w:rPr>
          <w:t xml:space="preserve">daimoku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transcende o conceito convencional de oração e se transforma numa ação concreta pela felicidade de si e dos outros.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eikyopost.com.br/budismo/glossario#p-daimoku" TargetMode="External"/><Relationship Id="rId20" Type="http://schemas.openxmlformats.org/officeDocument/2006/relationships/hyperlink" Target="http://www.seikyopost.com.br/budismo/glossario#p-nam-myoho-renge-kyo" TargetMode="External"/><Relationship Id="rId22" Type="http://schemas.openxmlformats.org/officeDocument/2006/relationships/hyperlink" Target="http://www.seikyopost.com.br/budismo/glossario#p-daimoku" TargetMode="External"/><Relationship Id="rId21" Type="http://schemas.openxmlformats.org/officeDocument/2006/relationships/hyperlink" Target="http://www.seikyopost.com.br/budismo/glossario#p-gohonzon" TargetMode="External"/><Relationship Id="rId24" Type="http://schemas.openxmlformats.org/officeDocument/2006/relationships/hyperlink" Target="http://www.seikyopost.com.br/budismo/glossario#p-nam-myoho-renge-kyo" TargetMode="External"/><Relationship Id="rId23" Type="http://schemas.openxmlformats.org/officeDocument/2006/relationships/hyperlink" Target="http://www.seikyopost.com.br/budismo/glossario#p-gohonz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eikyopost.com.br/budismo/glossario#p-daimoku" TargetMode="External"/><Relationship Id="rId26" Type="http://schemas.openxmlformats.org/officeDocument/2006/relationships/hyperlink" Target="http://www.seikyopost.com.br/budismo/glossario#p-daimoku" TargetMode="External"/><Relationship Id="rId25" Type="http://schemas.openxmlformats.org/officeDocument/2006/relationships/hyperlink" Target="http://www.seikyopost.com.br/budismo/glossario#p-daimoku" TargetMode="External"/><Relationship Id="rId28" Type="http://schemas.openxmlformats.org/officeDocument/2006/relationships/hyperlink" Target="http://www.seikyopost.com.br/budismo/glossario#p-lei-m%C3%ADstica" TargetMode="External"/><Relationship Id="rId27" Type="http://schemas.openxmlformats.org/officeDocument/2006/relationships/hyperlink" Target="http://www.seikyopost.com.br/budismo/glossario#p-myoho-renge-kyo" TargetMode="External"/><Relationship Id="rId5" Type="http://schemas.openxmlformats.org/officeDocument/2006/relationships/hyperlink" Target="http://www.seikyopost.com.br/budismo/glossario#p-daimoku" TargetMode="External"/><Relationship Id="rId6" Type="http://schemas.openxmlformats.org/officeDocument/2006/relationships/hyperlink" Target="http://www.seikyopost.com.br/budismo/glossario#p-daimoku" TargetMode="External"/><Relationship Id="rId29" Type="http://schemas.openxmlformats.org/officeDocument/2006/relationships/hyperlink" Target="http://www.seikyopost.com.br/budismo/glossario#p-nam-myoho-renge-kyo" TargetMode="External"/><Relationship Id="rId7" Type="http://schemas.openxmlformats.org/officeDocument/2006/relationships/hyperlink" Target="http://www.seikyopost.com.br/budismo/glossario#p-gohonzon" TargetMode="External"/><Relationship Id="rId8" Type="http://schemas.openxmlformats.org/officeDocument/2006/relationships/hyperlink" Target="http://www.seikyopost.com.br/budismo/glossario#p-daimoku" TargetMode="External"/><Relationship Id="rId31" Type="http://schemas.openxmlformats.org/officeDocument/2006/relationships/hyperlink" Target="http://www.seikyopost.com.br/budismo/glossario#p-daimoku" TargetMode="External"/><Relationship Id="rId30" Type="http://schemas.openxmlformats.org/officeDocument/2006/relationships/hyperlink" Target="http://www.seikyopost.com.br/budismo/glossario#p-lei-m%C3%ADstica" TargetMode="External"/><Relationship Id="rId11" Type="http://schemas.openxmlformats.org/officeDocument/2006/relationships/hyperlink" Target="http://www.seikyopost.com.br/budismo/glossario#p-daimoku" TargetMode="External"/><Relationship Id="rId33" Type="http://schemas.openxmlformats.org/officeDocument/2006/relationships/hyperlink" Target="http://www.seikyopost.com.br/budismo/glossario#p-nam-myoho-renge-kyo" TargetMode="External"/><Relationship Id="rId10" Type="http://schemas.openxmlformats.org/officeDocument/2006/relationships/hyperlink" Target="http://www.seikyopost.com.br/budismo/glossario#p-nam-myoho-renge-kyo" TargetMode="External"/><Relationship Id="rId32" Type="http://schemas.openxmlformats.org/officeDocument/2006/relationships/hyperlink" Target="http://www.seikyopost.com.br/budismo/glossario#p-daimoku" TargetMode="External"/><Relationship Id="rId13" Type="http://schemas.openxmlformats.org/officeDocument/2006/relationships/hyperlink" Target="http://www.seikyopost.com.br/budismo/glossario#p-lei-m%C3%ADstica" TargetMode="External"/><Relationship Id="rId35" Type="http://schemas.openxmlformats.org/officeDocument/2006/relationships/hyperlink" Target="http://www.seikyopost.com.br/budismo/glossario#p-myoho-renge-kyo" TargetMode="External"/><Relationship Id="rId12" Type="http://schemas.openxmlformats.org/officeDocument/2006/relationships/hyperlink" Target="http://www.seikyopost.com.br/budismo/glossario#p-nam-myoho-renge-kyo" TargetMode="External"/><Relationship Id="rId34" Type="http://schemas.openxmlformats.org/officeDocument/2006/relationships/hyperlink" Target="http://www.seikyopost.com.br/budismo/glossario#p-myoho-renge-kyo" TargetMode="External"/><Relationship Id="rId15" Type="http://schemas.openxmlformats.org/officeDocument/2006/relationships/hyperlink" Target="http://www.seikyopost.com.br/budismo/glossario#p-nam-myoho-renge-kyo" TargetMode="External"/><Relationship Id="rId37" Type="http://schemas.openxmlformats.org/officeDocument/2006/relationships/hyperlink" Target="http://www.seikyopost.com.br/budismo/glossario#p-myoho-renge-kyo" TargetMode="External"/><Relationship Id="rId14" Type="http://schemas.openxmlformats.org/officeDocument/2006/relationships/hyperlink" Target="http://www.seikyopost.com.br/budismo/glossario#p-daimoku" TargetMode="External"/><Relationship Id="rId36" Type="http://schemas.openxmlformats.org/officeDocument/2006/relationships/hyperlink" Target="http://www.seikyopost.com.br/budismo/glossario#p-lei-m%C3%ADstica" TargetMode="External"/><Relationship Id="rId17" Type="http://schemas.openxmlformats.org/officeDocument/2006/relationships/hyperlink" Target="http://www.seikyopost.com.br/budismo/glossario#p-gohonzon" TargetMode="External"/><Relationship Id="rId39" Type="http://schemas.openxmlformats.org/officeDocument/2006/relationships/hyperlink" Target="http://www.seikyopost.com.br/budismo/glossario#p-nam-myoho-renge-kyo" TargetMode="External"/><Relationship Id="rId16" Type="http://schemas.openxmlformats.org/officeDocument/2006/relationships/hyperlink" Target="http://www.seikyopost.com.br/budismo/glossario#p-nam-myoho-renge-kyo" TargetMode="External"/><Relationship Id="rId38" Type="http://schemas.openxmlformats.org/officeDocument/2006/relationships/hyperlink" Target="http://www.seikyopost.com.br/budismo/glossario#p-daimoku" TargetMode="External"/><Relationship Id="rId19" Type="http://schemas.openxmlformats.org/officeDocument/2006/relationships/hyperlink" Target="http://www.seikyopost.com.br/budismo/glossario#p-gohonzon" TargetMode="External"/><Relationship Id="rId18" Type="http://schemas.openxmlformats.org/officeDocument/2006/relationships/hyperlink" Target="http://www.seikyopost.com.br/budismo/glossario#p-lei-m%C3%ADstica" TargetMode="External"/></Relationships>
</file>