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Não fique no vermelho!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Sua saúde financeira não está indo muito bem? Opa, têm algo errado! Aprenda a controlar e gerir melhor suas finanças.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20112017-financeiro-nao-fique-no-vermelho.jpg</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Legenda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Planeje suas finanças com capricho para não ser pego por imprevistos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Fonte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Tags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 planejamento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Texto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Chegar ao fim do mês com sua conta no vermelho e estar sempre comprometido com uma dívida atrás da outra. Cuidado! Isso pode ser um sinal de que algo está errado com o seu planejamento financeiro. Você já ouviu aquele famoso ditado? “Nunca dê um passo maior do que as pernas”, ou seja, não gaste mais dinheiro do que você ganha! Como fazer isso?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Se você gasta demais e tem pouco costume de criar métodos de controle de gastos, consequentemente não consegue planejar o futuro. A desculpa é sempre a mesma: o salário é bem menor do que as dívidas. Nem sempre o problema está no valor do salário, mas na maneira como administrá-lo. Sem um planejamento financeiro, ou seja, quanto tenho e o que pretendo comprar, em quanto tempo e quanto devo guardar para adquirir o que quero, o sonho de concretizá-lo pode ficar cada vez mais distante.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Consumir produtos que você nem mesmo sabe se necessita apenas por impulso ou por compulsão também pode comprometer a vida financeira de qualquer família. Educação financeira se aprende em casa, e agora também nas escolas. E requer o esforço de todos.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Uma boa leitura!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