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E75F41" w:rsidRDefault="00863F1D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Nichiren em quadrinhos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E75F41" w:rsidRDefault="00863F1D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De forma inédita, a Editora Brasil Seikyo (EBS) lança em São Paulo mangá de momentos marcantes da vida de Nichiren Daishonin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Notícias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 w:rsidRPr="00863F1D">
        <w:rPr>
          <w:rFonts w:ascii="Calibri" w:eastAsia="Calibri" w:hAnsi="Calibri" w:cs="Calibri"/>
        </w:rPr>
        <w:t>20112017-Noticias-Nichiren-em-quadrinhos.jpg</w:t>
      </w:r>
      <w:bookmarkStart w:id="0" w:name="_GoBack"/>
      <w:bookmarkEnd w:id="0"/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Legendas</w:t>
      </w:r>
    </w:p>
    <w:p w:rsidR="00E75F41" w:rsidRDefault="00863F1D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Na tarde do lançamento do livro, convidados e associados à BSGI marcam presença no evento, assistem a palestra “O que é Mangá” e, na mesma ocasião, adquirem obra que conta a trajetória de desafios e superações do Buda</w:t>
      </w:r>
      <w:r>
        <w:rPr>
          <w:rFonts w:ascii="Calibri" w:eastAsia="Calibri" w:hAnsi="Calibri" w:cs="Calibri"/>
          <w:highlight w:val="white"/>
        </w:rPr>
        <w:t>, Centro Cultural Dr. Daisaku Ikeda (CCDI), SP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23 de setembro de 2017 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Fonte 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E8E8E8"/>
        </w:rPr>
        <w:t>Brasil Seikyo, ed. 2.389, 30 set. 2017, p. A6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Quadrinhos; Nichiren; Lançamento; Mangá</w:t>
      </w:r>
    </w:p>
    <w:p w:rsidR="00E75F41" w:rsidRDefault="00863F1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E75F41" w:rsidRDefault="00863F1D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Jovens e adultos contemplaram na tarde de 23 de setembro, no Auditório Monarca em São Paulo, o lançamento da primeira obra da Editora Brasil Seikyo (EBS) publicada em quadrinhos no estilo mangá — Nichiren.</w:t>
      </w:r>
    </w:p>
    <w:p w:rsidR="00E75F41" w:rsidRDefault="00863F1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novo formato do livro está diretamente relaciona</w:t>
      </w:r>
      <w:r>
        <w:rPr>
          <w:rFonts w:ascii="Calibri" w:eastAsia="Calibri" w:hAnsi="Calibri" w:cs="Calibri"/>
          <w:highlight w:val="white"/>
        </w:rPr>
        <w:t>do à herança cultural, transmitida há gerações no Japão e hoje mundialmente conhecida. O objetivo do evento foi mostrar as pessoas a nova publicação com uma linguagem diferenciada e inovadora. O mangá já é editado em japonês e italiano e agora chega ao púb</w:t>
      </w:r>
      <w:r>
        <w:rPr>
          <w:rFonts w:ascii="Calibri" w:eastAsia="Calibri" w:hAnsi="Calibri" w:cs="Calibri"/>
          <w:highlight w:val="white"/>
        </w:rPr>
        <w:t>lico brasileiro.</w:t>
      </w:r>
    </w:p>
    <w:p w:rsidR="00E75F41" w:rsidRDefault="00863F1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Cristiane Sato, presidente da Associação Brasileira de Desenhistas de Mangá e Ilustrações (Abrademi), fez uma palestra sobre “O que é Mangá” e explicou a importância desse segmento para uma leitura dinâmica independentemente do gênero e da</w:t>
      </w:r>
      <w:r>
        <w:rPr>
          <w:rFonts w:ascii="Calibri" w:eastAsia="Calibri" w:hAnsi="Calibri" w:cs="Calibri"/>
          <w:highlight w:val="white"/>
        </w:rPr>
        <w:t xml:space="preserve"> faixa etária.</w:t>
      </w:r>
    </w:p>
    <w:p w:rsidR="00E75F41" w:rsidRDefault="00863F1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Integrantes do Departamento de Artistas (Depart) da BSGI encenaram trechos dos quadrinhos e instigaram os participantes a lerem a obra que contextualiza a vida de desafios de Nichiren Daishonin e seus discípulos em uma época de grandes calam</w:t>
      </w:r>
      <w:r>
        <w:rPr>
          <w:rFonts w:ascii="Calibri" w:eastAsia="Calibri" w:hAnsi="Calibri" w:cs="Calibri"/>
          <w:highlight w:val="white"/>
        </w:rPr>
        <w:t>idades e de uma sociedade em crise.</w:t>
      </w:r>
    </w:p>
    <w:p w:rsidR="00E75F41" w:rsidRDefault="00863F1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Julio China, primeiro vice-presidente da BSGI, falou que na época que a obra retrata (começando em 1254) o budismo, um ensinamento da suprema dignidade de todas as pessoas, tinha se degenerado em uma religião que degradou e desvalorizou o povo. “A luta de </w:t>
      </w:r>
      <w:r>
        <w:rPr>
          <w:rFonts w:ascii="Calibri" w:eastAsia="Calibri" w:hAnsi="Calibri" w:cs="Calibri"/>
          <w:highlight w:val="white"/>
        </w:rPr>
        <w:t>Nichiren Daishonin era contra as doutrinas errôneas das escolas budistas estabelecidas do seu tempo que pregavam que as pessoas dependiam de um poder externo para serem felizes. Por ser mangá, o livro tem linguagem acessível, principalmente aos mais novos.</w:t>
      </w:r>
      <w:r>
        <w:rPr>
          <w:rFonts w:ascii="Calibri" w:eastAsia="Calibri" w:hAnsi="Calibri" w:cs="Calibri"/>
          <w:highlight w:val="white"/>
        </w:rPr>
        <w:t xml:space="preserve"> Sem dúvida, essa publicação é importante para cultivar o espírito de justiça entre os jovens de hoje.”</w:t>
      </w:r>
    </w:p>
    <w:p w:rsidR="00E75F41" w:rsidRDefault="00863F1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evento foi galardoado com a participação de jovens vestidos de cosplay [termo em inglês formado pela junção das palavras costume (fantasia) e roleplay</w:t>
      </w:r>
      <w:r>
        <w:rPr>
          <w:rFonts w:ascii="Calibri" w:eastAsia="Calibri" w:hAnsi="Calibri" w:cs="Calibri"/>
          <w:highlight w:val="white"/>
        </w:rPr>
        <w:t xml:space="preserve"> (brincadeira ou interpretação). É considerado um hobby em que os participantes se caracterizam de personagens fictícios da cultura pop japonesa] comum em eventos que atraem fãs desse tipo de obra.</w:t>
      </w:r>
    </w:p>
    <w:p w:rsidR="00E75F41" w:rsidRDefault="00863F1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|</w:t>
      </w:r>
    </w:p>
    <w:sectPr w:rsidR="00E75F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5F41"/>
    <w:rsid w:val="00863F1D"/>
    <w:rsid w:val="00E7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23624-C295-458C-B294-8EDE686E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2017-11-26T23:36:00Z</dcterms:created>
  <dcterms:modified xsi:type="dcterms:W3CDTF">2017-11-26T23:37:00Z</dcterms:modified>
</cp:coreProperties>
</file>