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745DF" w14:textId="1125ADD5" w:rsidR="00A7786D" w:rsidRDefault="00165CAE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1090661D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Nenhuma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obstáculo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</w:p>
    <w:p w14:paraId="0EAA21CF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FDFA950" w14:textId="72C34E22" w:rsidR="00A7786D" w:rsidRDefault="00165CAE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326F34DC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rugido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capaz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espantar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outros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animais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longe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forma,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encaradas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recitação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Nam-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nenhuma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torna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obstáculo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F4BAABE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4E23E86" w14:textId="1F5E01E3" w:rsidR="00A7786D" w:rsidRDefault="00165CAE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36856C21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Ikeda</w:t>
      </w:r>
    </w:p>
    <w:p w14:paraId="3791F279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50FE68B" w14:textId="747B14DD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7E0C537C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</w:p>
    <w:p w14:paraId="39EBB8F4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3233AB0" w14:textId="30DC535A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3EA40A20" w14:textId="3F79AFDB" w:rsidR="000D4AD5" w:rsidRDefault="00165CAE" w:rsidP="000D4A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20112017-saude-nenhuma-</w:t>
      </w:r>
      <w:r w:rsidR="000D4AD5">
        <w:rPr>
          <w:rFonts w:ascii="Calibri" w:hAnsi="Calibri" w:cs="Calibri"/>
          <w:sz w:val="22"/>
          <w:szCs w:val="22"/>
          <w:lang w:val="en-US"/>
        </w:rPr>
        <w:t>doenca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D4AD5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D4AD5">
        <w:rPr>
          <w:rFonts w:ascii="Calibri" w:hAnsi="Calibri" w:cs="Calibri"/>
          <w:sz w:val="22"/>
          <w:szCs w:val="22"/>
          <w:lang w:val="en-US"/>
        </w:rPr>
        <w:t>obstaculo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D4AD5">
        <w:rPr>
          <w:rFonts w:ascii="Calibri" w:hAnsi="Calibri" w:cs="Calibri"/>
          <w:sz w:val="22"/>
          <w:szCs w:val="22"/>
          <w:lang w:val="en-US"/>
        </w:rPr>
        <w:t>para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D4AD5">
        <w:rPr>
          <w:rFonts w:ascii="Calibri" w:hAnsi="Calibri" w:cs="Calibri"/>
          <w:sz w:val="22"/>
          <w:szCs w:val="22"/>
          <w:lang w:val="en-US"/>
        </w:rPr>
        <w:t>a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0D4AD5">
        <w:rPr>
          <w:rFonts w:ascii="Calibri" w:hAnsi="Calibri" w:cs="Calibri"/>
          <w:sz w:val="22"/>
          <w:szCs w:val="22"/>
          <w:lang w:val="en-US"/>
        </w:rPr>
        <w:t>felicidade</w:t>
      </w:r>
      <w:r>
        <w:rPr>
          <w:rFonts w:ascii="Calibri" w:hAnsi="Calibri" w:cs="Calibri"/>
          <w:sz w:val="22"/>
          <w:szCs w:val="22"/>
          <w:lang w:val="en-US"/>
        </w:rPr>
        <w:t>.jpg</w:t>
      </w:r>
    </w:p>
    <w:p w14:paraId="28C289D2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A2E0AEA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636593BD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4AE1A69B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4DC16631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F7A567F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</w:p>
    <w:p w14:paraId="635500CE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Brasil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Seikyo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ed. 2290, 5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2015, p. B2</w:t>
      </w:r>
    </w:p>
    <w:p w14:paraId="4F0CC14B" w14:textId="77777777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76027A6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Times" w:hAnsi="Times" w:cs="Times"/>
          <w:lang w:val="en-US"/>
        </w:rPr>
      </w:pPr>
    </w:p>
    <w:p w14:paraId="7EDDD721" w14:textId="77777777" w:rsidR="00A7786D" w:rsidRDefault="00A7786D" w:rsidP="00A7786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lastRenderedPageBreak/>
        <w:t>Tags</w:t>
      </w:r>
    </w:p>
    <w:p w14:paraId="7C29C73D" w14:textId="329505CE" w:rsidR="00165CAE" w:rsidRDefault="00165CAE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bem-estar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revolução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ikeda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ikeda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discursos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;</w:t>
      </w:r>
      <w:r w:rsidR="00A7786D">
        <w:rPr>
          <w:rFonts w:ascii="Calibri" w:hAnsi="Calibri" w:cs="Calibri"/>
          <w:kern w:val="1"/>
          <w:sz w:val="22"/>
          <w:szCs w:val="22"/>
          <w:lang w:val="en-US"/>
        </w:rPr>
        <w:t xml:space="preserve"> nova </w:t>
      </w:r>
      <w:proofErr w:type="spellStart"/>
      <w:r w:rsidR="00A7786D">
        <w:rPr>
          <w:rFonts w:ascii="Calibri" w:hAnsi="Calibri" w:cs="Calibri"/>
          <w:kern w:val="1"/>
          <w:sz w:val="22"/>
          <w:szCs w:val="22"/>
          <w:lang w:val="en-US"/>
        </w:rPr>
        <w:t>revolução</w:t>
      </w:r>
      <w:proofErr w:type="spellEnd"/>
      <w:r w:rsidR="00A7786D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="00A7786D">
        <w:rPr>
          <w:rFonts w:ascii="Calibri" w:hAnsi="Calibri" w:cs="Calibri"/>
          <w:kern w:val="1"/>
          <w:sz w:val="22"/>
          <w:szCs w:val="22"/>
          <w:lang w:val="en-US"/>
        </w:rPr>
        <w:t>humana</w:t>
      </w:r>
      <w:proofErr w:type="spellEnd"/>
    </w:p>
    <w:p w14:paraId="66656E72" w14:textId="69CD7C44" w:rsidR="00A7786D" w:rsidRDefault="001F3EEA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C4AE746" w14:textId="06779448" w:rsidR="00A7786D" w:rsidRDefault="00374080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Texto</w:t>
      </w:r>
      <w:proofErr w:type="spellEnd"/>
    </w:p>
    <w:p w14:paraId="40975CCB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Discurso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presidente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Ikeda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extraído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adaptado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do romance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Nova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Revolução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Humana</w:t>
      </w: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, v. 10,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capítulo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“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Coroas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Louro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”,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publicado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português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março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de 2012.</w:t>
      </w:r>
    </w:p>
    <w:p w14:paraId="09CFB4F6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Shin’ichi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pseudônimo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Daisaku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 Ikeda no romance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Nova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Revolução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Humana</w:t>
      </w:r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)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incentivou</w:t>
      </w:r>
      <w:proofErr w:type="spellEnd"/>
      <w:proofErr w:type="gram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 xml:space="preserve">-o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dizendo</w:t>
      </w:r>
      <w:proofErr w:type="spellEnd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:</w:t>
      </w:r>
    </w:p>
    <w:p w14:paraId="005DF359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No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capítulo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“A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Extensão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Vida” (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Juryo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) do Sutra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Lótus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prolongar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tempo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dizer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tempo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limitado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estendê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-lo.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Este é um dos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benefícios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conseguimos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obter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longa,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impossível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senhor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consiga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vencer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recuperar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favor,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empenhe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intensa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recitação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daimoku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desfrute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prolongada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existência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2F4D56BA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discussão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origem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Nichiren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cita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passagem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Grande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Concentração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Discernimento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Tiantai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qual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afirma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Existem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: 1)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desarmonia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quatro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elementos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2)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hábitos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ingestão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alimentos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bebidas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3) forma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incorreta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realizar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meditação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sentada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4)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ataque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demônios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5)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maldades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; e 6)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efeito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".</w:t>
      </w:r>
    </w:p>
    <w:p w14:paraId="4504FCA8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6B5D8E26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Uma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análise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doença</w:t>
      </w:r>
      <w:proofErr w:type="spellEnd"/>
    </w:p>
    <w:p w14:paraId="7F232ED4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Vamos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analisar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essas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detalhes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primeira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desarmonia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quatro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elementos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isto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é, terra,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água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fogo</w:t>
      </w:r>
      <w:proofErr w:type="spellEnd"/>
      <w:proofErr w:type="gram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vento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filosofia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oriental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revela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tanto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humano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tudo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natureza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no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universo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constituídos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quatro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elementos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Esse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distúrbio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também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externo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clima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irregular e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degradação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ambiente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influenciam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negativamente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provocam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surgimento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03C871EE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BC77521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segunda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e a </w:t>
      </w:r>
      <w:proofErr w:type="spellStart"/>
      <w:proofErr w:type="gram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terceira</w:t>
      </w:r>
      <w:proofErr w:type="spellEnd"/>
      <w:proofErr w:type="gram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—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maus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hábitos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na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ingestão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alimentos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bebidas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e forma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incorreta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realizar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meditação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sentada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—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referem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-se à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alimentação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desregrada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ritmo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diária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mantivermos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sedentária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sem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exercitar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dormir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suficiente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seguindo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alimentação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inadequada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bom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funcionamento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organismo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6DE53945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0DD2F472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proofErr w:type="gram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quarta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causa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cita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vêm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fora</w:t>
      </w:r>
      <w:proofErr w:type="spellEnd"/>
      <w:proofErr w:type="gram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bactérias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vírus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Podemos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incluir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estresse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provocado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várias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circunstâncias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cotidianas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</w:p>
    <w:p w14:paraId="70F86DF0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059E76B1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quinta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causa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é </w:t>
      </w:r>
      <w:proofErr w:type="gram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ação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maldades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condições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mentais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psíquicas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perturbam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funcionamento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normal do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corpo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chamada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maldades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originada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dessa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perturbação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impedir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do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2B3C2A5C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E31DEE4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sexta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efeito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se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refere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às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originam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negativas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acumuladas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nas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profundezas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mostra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surge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desorientações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tendências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profundas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raízes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considera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tais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desorientações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1A40B802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FDFDCC6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origem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dividida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diferentes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categorias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mas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muitas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delas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possuem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intercaladas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</w:p>
    <w:p w14:paraId="0A256CAD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58C6ED08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Shin’ichi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continuou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explicar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detalhadamente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sobre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seis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causas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:</w:t>
      </w:r>
    </w:p>
    <w:p w14:paraId="628030FC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6AE40EA8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forma,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devemos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pensar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proteger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organismo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[...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]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Qualquer</w:t>
      </w:r>
      <w:proofErr w:type="spellEnd"/>
      <w:proofErr w:type="gram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cura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pouco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tempo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depende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energia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vital. </w:t>
      </w:r>
      <w:proofErr w:type="gram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E 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fonte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dessa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energia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é 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kern w:val="1"/>
          <w:sz w:val="22"/>
          <w:szCs w:val="22"/>
          <w:lang w:val="en-US"/>
        </w:rPr>
        <w:t xml:space="preserve">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tem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origem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maldade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negativo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curada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recursos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medicina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necessário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orar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firmemente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Gohonzon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combater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maldade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transformar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carma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negativo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</w:p>
    <w:p w14:paraId="4A133E70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empenhar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-se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firmemente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prática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falta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desfrutará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cheia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tenha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conviver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crônica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No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escrito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Resposta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Kyo’o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consta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: “O Nam-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rugido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leão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portanto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obstáculo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?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”.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Nam-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rugido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leão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rugido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leão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capaz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espantar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outros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animais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longe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mesma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forma,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encaradas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recitação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 Nam-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myoho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renge-kyo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nenhuma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torna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num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obstáculo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pessoa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i/>
          <w:iCs/>
          <w:kern w:val="1"/>
          <w:sz w:val="22"/>
          <w:szCs w:val="22"/>
          <w:lang w:val="en-US"/>
        </w:rPr>
        <w:t>kosen-rufu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>.</w:t>
      </w:r>
    </w:p>
    <w:p w14:paraId="5F4F2ED2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7BC409D9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Tenham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resoluta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convicção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ser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derrotado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essas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forças</w:t>
      </w:r>
      <w:proofErr w:type="spellEnd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kern w:val="1"/>
          <w:sz w:val="22"/>
          <w:szCs w:val="22"/>
          <w:lang w:val="en-US"/>
        </w:rPr>
        <w:t>negativas</w:t>
      </w:r>
      <w:proofErr w:type="spellEnd"/>
    </w:p>
    <w:p w14:paraId="2ABAC8B0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>
        <w:rPr>
          <w:rFonts w:ascii="Calibri" w:hAnsi="Calibri" w:cs="Calibri"/>
          <w:kern w:val="1"/>
          <w:sz w:val="22"/>
          <w:szCs w:val="22"/>
          <w:lang w:val="en-US"/>
        </w:rPr>
        <w:t xml:space="preserve">—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perfeitamente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saudáveis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kern w:val="1"/>
          <w:sz w:val="22"/>
          <w:szCs w:val="22"/>
          <w:lang w:val="en-US"/>
        </w:rPr>
        <w:t>mas</w:t>
      </w:r>
      <w:proofErr w:type="gram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felizes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doentes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espírito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outro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lado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há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muitos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membros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Soka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Gakkai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enquanto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batalham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contra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alguma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doença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inabilidade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são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verdadeiramente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felizes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e,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além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disso, se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dedicam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kern w:val="1"/>
          <w:sz w:val="22"/>
          <w:szCs w:val="22"/>
          <w:lang w:val="en-US"/>
        </w:rPr>
        <w:t>felicidade</w:t>
      </w:r>
      <w:proofErr w:type="spellEnd"/>
      <w:r>
        <w:rPr>
          <w:rFonts w:ascii="Calibri" w:hAnsi="Calibri" w:cs="Calibri"/>
          <w:kern w:val="1"/>
          <w:sz w:val="22"/>
          <w:szCs w:val="22"/>
          <w:lang w:val="en-US"/>
        </w:rPr>
        <w:t xml:space="preserve"> dos outros.</w:t>
      </w:r>
    </w:p>
    <w:p w14:paraId="39511F48" w14:textId="77C0F6A3" w:rsidR="00374080" w:rsidRPr="00374080" w:rsidRDefault="00A7786D" w:rsidP="003740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Espero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vivam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maneira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as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pessoas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encontram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em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condições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parecidas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,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irão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admirar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dizer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: “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Veja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quão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enérgico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ele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mesmo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sendo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diabético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!</w:t>
      </w:r>
      <w:proofErr w:type="gram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”,</w:t>
      </w:r>
      <w:proofErr w:type="gram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“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Olhe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que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longa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ele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está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desfrutando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”, “Como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ele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feliz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!”. </w:t>
      </w:r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Se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conseguir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se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tornar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um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indivíduo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que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consiga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inspirar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dessa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maneira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, o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senhor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será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um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extraordinário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exemplo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de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poder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 do </w:t>
      </w:r>
      <w:proofErr w:type="spellStart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>budismo</w:t>
      </w:r>
      <w:proofErr w:type="spellEnd"/>
      <w:r w:rsidRPr="00374080">
        <w:rPr>
          <w:rFonts w:ascii="Calibri" w:hAnsi="Calibri" w:cs="Calibri"/>
          <w:color w:val="004DBB"/>
          <w:kern w:val="1"/>
          <w:sz w:val="22"/>
          <w:szCs w:val="22"/>
          <w:lang w:val="en-US"/>
        </w:rPr>
        <w:t xml:space="preserve">.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Essa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é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sua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missão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de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vida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.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Não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se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permita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ser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derrotado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. Continue </w:t>
      </w:r>
      <w:proofErr w:type="gram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a</w:t>
      </w:r>
      <w:proofErr w:type="gram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avançar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e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jamais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 xml:space="preserve"> </w:t>
      </w:r>
      <w:proofErr w:type="spellStart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desista</w:t>
      </w:r>
      <w:proofErr w:type="spellEnd"/>
      <w:r w:rsidRPr="00374080">
        <w:rPr>
          <w:rFonts w:ascii="Calibri" w:hAnsi="Calibri" w:cs="Calibri"/>
          <w:kern w:val="1"/>
          <w:sz w:val="22"/>
          <w:szCs w:val="22"/>
          <w:lang w:val="en-US"/>
        </w:rPr>
        <w:t>!</w:t>
      </w:r>
    </w:p>
    <w:p w14:paraId="1AC80C10" w14:textId="7829D443" w:rsidR="0054342B" w:rsidRPr="00374080" w:rsidRDefault="0054342B" w:rsidP="0037408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  <w:r w:rsidRPr="00374080"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26C40C7" w14:textId="77777777" w:rsidR="00A7786D" w:rsidRDefault="00A7786D" w:rsidP="00A7786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1"/>
          <w:sz w:val="22"/>
          <w:szCs w:val="22"/>
          <w:lang w:val="en-US"/>
        </w:rPr>
      </w:pPr>
    </w:p>
    <w:p w14:paraId="3DFDFC04" w14:textId="77777777" w:rsidR="006C1500" w:rsidRPr="00A7786D" w:rsidRDefault="006C1500" w:rsidP="00A7786D">
      <w:bookmarkStart w:id="0" w:name="_GoBack"/>
      <w:bookmarkEnd w:id="0"/>
    </w:p>
    <w:sectPr w:rsidR="006C1500" w:rsidRPr="00A7786D" w:rsidSect="00A7786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20B1C"/>
    <w:multiLevelType w:val="hybridMultilevel"/>
    <w:tmpl w:val="11404AC4"/>
    <w:lvl w:ilvl="0" w:tplc="F63866F4">
      <w:start w:val="2"/>
      <w:numFmt w:val="bullet"/>
      <w:lvlText w:val="—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D"/>
    <w:rsid w:val="000D4AD5"/>
    <w:rsid w:val="00165CAE"/>
    <w:rsid w:val="001F3EEA"/>
    <w:rsid w:val="00374080"/>
    <w:rsid w:val="00414C61"/>
    <w:rsid w:val="0054342B"/>
    <w:rsid w:val="006C1500"/>
    <w:rsid w:val="007232B9"/>
    <w:rsid w:val="00A7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389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780</Words>
  <Characters>4449</Characters>
  <Application>Microsoft Macintosh Word</Application>
  <DocSecurity>0</DocSecurity>
  <Lines>37</Lines>
  <Paragraphs>10</Paragraphs>
  <ScaleCrop>false</ScaleCrop>
  <Company>Editora Brasil Seikyo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6</cp:revision>
  <cp:lastPrinted>2017-11-20T14:37:00Z</cp:lastPrinted>
  <dcterms:created xsi:type="dcterms:W3CDTF">2017-11-20T13:52:00Z</dcterms:created>
  <dcterms:modified xsi:type="dcterms:W3CDTF">2017-11-20T20:59:00Z</dcterms:modified>
</cp:coreProperties>
</file>