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sz w:val="56"/>
        </w:rPr>
        <w:t>Amelie MD v0.8.1</w:t>
      </w:r>
    </w:p>
    <w:p>
      <w:r>
        <w:br/>
        <w:br/>
      </w:r>
    </w:p>
    <w:p>
      <w:pPr>
        <w:jc w:val="center"/>
      </w:pPr>
      <w:r>
        <w:rPr>
          <w:sz w:val="28"/>
        </w:rPr>
        <w:t>Edwin José Nolasco</w:t>
      </w:r>
    </w:p>
    <w:p>
      <w:r>
        <w:br/>
      </w:r>
    </w:p>
    <w:p>
      <w:pPr>
        <w:jc w:val="center"/>
      </w:pPr>
      <w:r>
        <w:rPr>
          <w:sz w:val="24"/>
        </w:rPr>
        <w:t>2026-04-29</w:t>
      </w:r>
    </w:p>
    <w:p>
      <w:r>
        <w:br w:type="page"/>
      </w:r>
    </w:p>
    <w:p>
      <w:r>
        <w:rPr>
          <w:b/>
          <w:color w:val="003366"/>
          <w:sz w:val="40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rPr>
          <w:i/>
        </w:rPr>
        <w:t>Right-click and update field to generate table of contents</w:t>
      </w:r>
      <w:r>
        <w:fldChar w:fldCharType="end"/>
      </w:r>
    </w:p>
    <w:p/>
    <w:p>
      <w:r>
        <w:br w:type="page"/>
      </w:r>
    </w:p>
    <w:p>
      <w:pPr>
        <w:pStyle w:val="Heading1"/>
      </w:pPr>
      <w:r>
        <w:t xml:space="preserve">1 </w:t>
      </w:r>
      <w:r>
        <w:rPr>
          <w:b w:val="0"/>
          <w:i w:val="0"/>
        </w:rPr>
        <w:t>amelie-md</w:t>
      </w:r>
    </w:p>
    <w:p>
      <w:pPr/>
      <w:r>
        <w:rPr>
          <w:b w:val="0"/>
          <w:i w:val="0"/>
        </w:rPr>
        <w:t>Markdown publishing toolkit for academic, technical, and data-driven documents.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88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F81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melieCodeBlock">
    <w:name w:val="Amelie Code Block"/>
    <w:pPr>
      <w:keepLines/>
      <w:spacing w:before="160" w:after="160"/>
      <w:ind w:left="432" w:right="360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Amelie MD v0.8.1</dc:title>
  <dc:subject/>
  <dc:creator>Edwin José Nolasco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