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b/>
          <w:bCs/>
          <w:sz w:val="30"/>
          <w:szCs w:val="30"/>
        </w:rPr>
        <w:t xml:space="preserve">UNIVERSIDAD NACIONAL DE SAN CRISTÓBAL DE HUAMANGA</w:t>
      </w:r>
    </w:p>
    <w:p>
      <w:pPr>
        <w:spacing w:after="120" w:line="360"/>
        <w:jc w:val="center"/>
      </w:pPr>
      <w:r>
        <w:rPr>
          <w:b/>
          <w:bCs/>
          <w:sz w:val="24"/>
          <w:szCs w:val="24"/>
        </w:rPr>
        <w:t xml:space="preserve">FACULTAD DE INGENIERÍA DE MINAS, GEOLOGÍA Y CIVIL</w:t>
      </w:r>
    </w:p>
    <w:p>
      <w:pPr>
        <w:spacing w:after="120" w:line="360"/>
        <w:jc w:val="center"/>
      </w:pPr>
      <w:r>
        <w:rPr>
          <w:b/>
          <w:bCs/>
          <w:sz w:val="22"/>
          <w:szCs w:val="22"/>
        </w:rPr>
        <w:t xml:space="preserve">ESCUELA PROFESIONAL DE INGENIERÍA DE SISTEMAS</w:t>
      </w:r>
    </w:p>
    <w:p>
      <w:pPr>
        <w:spacing w:after="240"/>
      </w:pPr>
    </w:p>
    <w:p>
      <w:pPr>
        <w:spacing w:after="120" w:line="360"/>
        <w:jc w:val="center"/>
      </w:pPr>
      <w:r>
        <w:rPr>
          <w:i/>
          <w:iCs/>
          <w:color w:val="AAAAAA"/>
          <w:sz w:val="20"/>
          <w:szCs w:val="20"/>
        </w:rPr>
        <w:t xml:space="preserve">[ Escudo institucional UNSCH ]</w:t>
      </w:r>
    </w:p>
    <w:p>
      <w:pPr>
        <w:spacing w:after="240"/>
      </w:pPr>
    </w:p>
    <w:p>
      <w:pPr>
        <w:spacing w:after="120" w:line="360"/>
        <w:jc w:val="center"/>
      </w:pPr>
      <w:r>
        <w:rPr>
          <w:b/>
          <w:bCs/>
          <w:sz w:val="26"/>
          <w:szCs w:val="26"/>
        </w:rPr>
        <w:t xml:space="preserve">INFORME</w:t>
      </w:r>
    </w:p>
    <w:p>
      <w:pPr>
        <w:spacing w:after="80"/>
      </w:pPr>
    </w:p>
    <w:p>
      <w:pPr>
        <w:spacing w:after="120" w:line="360"/>
        <w:jc w:val="center"/>
      </w:pPr>
      <w:r>
        <w:rPr>
          <w:b/>
          <w:bCs/>
          <w:sz w:val="26"/>
          <w:szCs w:val="26"/>
        </w:rPr>
        <w:t xml:space="preserve">“Desarrollo de una plataforma web para la gestión de trámites municipales con enfoque en seguridad y protección de datos personales, 2026”</w:t>
      </w:r>
    </w:p>
    <w:p>
      <w:pPr>
        <w:spacing w:after="360"/>
      </w:pPr>
    </w:p>
    <w:p>
      <w:pPr>
        <w:spacing w:after="40" w:line="360"/>
        <w:jc w:val="right"/>
      </w:pPr>
      <w:r>
        <w:rPr>
          <w:b/>
          <w:bCs/>
          <w:sz w:val="24"/>
          <w:szCs w:val="24"/>
        </w:rPr>
        <w:t xml:space="preserve">Presentado por:  </w:t>
      </w:r>
      <w:r>
        <w:rPr>
          <w:sz w:val="24"/>
          <w:szCs w:val="24"/>
        </w:rPr>
        <w:t xml:space="preserve">Cuadros Reyes Edson Jorge</w:t>
      </w:r>
    </w:p>
    <w:p>
      <w:pPr>
        <w:spacing w:after="60"/>
      </w:pPr>
    </w:p>
    <w:p>
      <w:pPr>
        <w:spacing w:after="40" w:line="360"/>
        <w:jc w:val="right"/>
      </w:pPr>
      <w:r>
        <w:rPr>
          <w:b/>
          <w:bCs/>
          <w:sz w:val="24"/>
          <w:szCs w:val="24"/>
        </w:rPr>
        <w:t xml:space="preserve">Docente:  </w:t>
      </w:r>
      <w:r>
        <w:rPr>
          <w:sz w:val="24"/>
          <w:szCs w:val="24"/>
        </w:rPr>
        <w:t xml:space="preserve">Mg. Ing. Richard Zapata Casaverde</w:t>
      </w:r>
    </w:p>
    <w:p>
      <w:pPr>
        <w:spacing w:after="60"/>
      </w:pPr>
    </w:p>
    <w:p>
      <w:pPr>
        <w:spacing w:after="40" w:line="360"/>
        <w:jc w:val="right"/>
      </w:pPr>
      <w:r>
        <w:rPr>
          <w:b/>
          <w:bCs/>
          <w:sz w:val="24"/>
          <w:szCs w:val="24"/>
        </w:rPr>
        <w:t xml:space="preserve">Curso:  </w:t>
      </w:r>
      <w:r>
        <w:rPr>
          <w:sz w:val="24"/>
          <w:szCs w:val="24"/>
        </w:rPr>
        <w:t xml:space="preserve">Pruebas y Aseguramiento de la Calidad de Software</w:t>
      </w:r>
    </w:p>
    <w:p>
      <w:pPr>
        <w:spacing w:after="400"/>
      </w:pPr>
    </w:p>
    <w:p>
      <w:pPr>
        <w:spacing w:after="120" w:line="360"/>
        <w:jc w:val="center"/>
      </w:pPr>
      <w:r>
        <w:rPr>
          <w:sz w:val="24"/>
          <w:szCs w:val="24"/>
        </w:rPr>
        <w:t xml:space="preserve">Ayacucho – Perú</w:t>
      </w:r>
    </w:p>
    <w:p>
      <w:pPr>
        <w:spacing w:after="120" w:line="360"/>
        <w:jc w:val="center"/>
      </w:pPr>
      <w:r>
        <w:rPr>
          <w:sz w:val="24"/>
          <w:szCs w:val="24"/>
        </w:rPr>
        <w:t xml:space="preserve">Julio, 2026</w:t>
      </w:r>
    </w:p>
    <w:p>
      <w:pPr>
        <w:pageBreakBefore/>
      </w:pPr>
    </w:p>
    <w:p>
      <w:pPr>
        <w:pStyle w:val="Heading1"/>
        <w:jc w:val="center"/>
      </w:pPr>
      <w:r>
        <w:t xml:space="preserve">Contenido</w:t>
      </w:r>
    </w:p>
    <w:sdt>
      <w:sdtPr>
        <w:alias w:val="Tabla de contenido"/>
      </w:sdtPr>
      <w:sdtContent>
        <w:p>
          <w:r>
            <w:fldChar w:fldCharType="begin" w:dirty="true"/>
            <w:instrText xml:space="preserve">TOC \h \o "1-3"</w:instrText>
            <w:fldChar w:fldCharType="separate"/>
          </w:r>
        </w:p>
        <w:p>
          <w:r>
            <w:fldChar w:fldCharType="end"/>
          </w:r>
        </w:p>
      </w:sdtContent>
    </w:sdt>
    <w:p>
      <w:pPr>
        <w:pageBreakBefore/>
      </w:pPr>
    </w:p>
    <w:p>
      <w:pPr>
        <w:pStyle w:val="Heading2"/>
        <w:spacing w:after="120" w:before="200" w:line="360"/>
      </w:pPr>
      <w:r>
        <w:t xml:space="preserve">Dedicatoria</w:t>
      </w:r>
    </w:p>
    <w:p>
      <w:pPr>
        <w:spacing w:after="0" w:line="360"/>
        <w:ind w:firstLine="720"/>
        <w:jc w:val="left"/>
      </w:pPr>
      <w:r>
        <w:t xml:space="preserve">Dedico el presente trabajo a mis padres, quienes han sido mi pilar fundamental y me han brindado su apoyo constante a lo largo de mis estudios universitarios; este logro es fruto de su amor y sacrificio. Asimismo, expreso mi gratitud a mis docentes, por su generosidad al compartir sus enseñanzas y fortalecer mis conocimientos durante mi formación profesional. Finalmente, agradezco a mis amigos, por su compañía leal y su apoyo incondicional, quienes hicieron posible que hoy alcance esta meta.</w:t>
      </w:r>
    </w:p>
    <w:p>
      <w:pPr>
        <w:pStyle w:val="Heading2"/>
        <w:pageBreakBefore/>
        <w:spacing w:after="120" w:before="200" w:line="360"/>
      </w:pPr>
      <w:r>
        <w:t xml:space="preserve">Agradecimiento</w:t>
      </w:r>
    </w:p>
    <w:p>
      <w:pPr>
        <w:spacing w:after="0" w:line="360"/>
        <w:ind w:firstLine="720"/>
        <w:jc w:val="left"/>
      </w:pPr>
      <w:r>
        <w:t xml:space="preserve">En primer lugar, agradezco a Dios, por haberme bendecido con la vida, guiar mi camino y darme la fortaleza necesaria para perseverar y superar cada obstáculo a lo largo de mi formación profesional. A mi alma máter, la Universidad Nacional de San Cristóbal de Huamanga, y a todos los docentes de la Escuela Profesional de Ingeniería de Sistemas, por su compromiso académico y por haberme impartido los conocimientos que hoy constituyen los cimientos de mi carrera. De manera especial, al docente del curso, por su guía en el desarrollo de este proyecto. Finalmente, mi gratitud eterna a mi familia, por su ejemplo de esfuerzo, su amor incondicional y su apoyo constante, motor que me impulsó a cumplir esta meta.</w:t>
      </w:r>
    </w:p>
    <w:p>
      <w:pPr>
        <w:pStyle w:val="Heading2"/>
        <w:pageBreakBefore/>
        <w:spacing w:after="120" w:before="200" w:line="360"/>
      </w:pPr>
      <w:r>
        <w:t xml:space="preserve">Resumen</w:t>
      </w:r>
    </w:p>
    <w:p>
      <w:pPr>
        <w:spacing w:after="0" w:line="360"/>
        <w:ind w:firstLine="720"/>
        <w:jc w:val="left"/>
      </w:pPr>
      <w:r>
        <w:t xml:space="preserve">El presente proyecto, de tipo </w:t>
      </w:r>
      <w:r>
        <w:rPr>
          <w:b/>
          <w:bCs/>
        </w:rPr>
        <w:t xml:space="preserve">aplicada – tecnológica</w:t>
      </w:r>
      <w:r>
        <w:t xml:space="preserve"> y nivel </w:t>
      </w:r>
      <w:r>
        <w:rPr>
          <w:b/>
          <w:bCs/>
        </w:rPr>
        <w:t xml:space="preserve">descriptivo</w:t>
      </w:r>
      <w:r>
        <w:t xml:space="preserve">, tuvo como objetivo general </w:t>
      </w:r>
      <w:r>
        <w:rPr>
          <w:b/>
          <w:bCs/>
        </w:rPr>
        <w:t xml:space="preserve">desarrollar una plataforma web para la gestión de trámites municipales con enfoque en seguridad y protección de datos personales</w:t>
      </w:r>
      <w:r>
        <w:t xml:space="preserve">, materializada en un Producto Mínimo Viable (MVP). Metodológicamente, se empleó </w:t>
      </w:r>
      <w:r>
        <w:rPr>
          <w:b/>
          <w:bCs/>
        </w:rPr>
        <w:t xml:space="preserve">Spec-Driven Development (SDD)</w:t>
      </w:r>
      <w:r>
        <w:t xml:space="preserve"> como marco de trabajo principal —en el que la especificación precede y guía al código—, complementado con </w:t>
      </w:r>
      <w:r>
        <w:rPr>
          <w:b/>
          <w:bCs/>
        </w:rPr>
        <w:t xml:space="preserve">Scrum</w:t>
      </w:r>
      <w:r>
        <w:t xml:space="preserve"> para la gestión iterativa de las fases de análisis, diseño e implementación, y con prácticas de </w:t>
      </w:r>
      <w:r>
        <w:rPr>
          <w:b/>
          <w:bCs/>
        </w:rPr>
        <w:t xml:space="preserve">Extreme Programming (XP)</w:t>
      </w:r>
      <w:r>
        <w:t xml:space="preserve"> para asegurar la calidad del código. A nivel arquitectónico, la plataforma se estructuró bajo </w:t>
      </w:r>
      <w:r>
        <w:rPr>
          <w:b/>
          <w:bCs/>
        </w:rPr>
        <w:t xml:space="preserve">Clean Architecture</w:t>
      </w:r>
      <w:r>
        <w:t xml:space="preserve"> y </w:t>
      </w:r>
      <w:r>
        <w:rPr>
          <w:b/>
          <w:bCs/>
        </w:rPr>
        <w:t xml:space="preserve">Domain-Driven Design (DDD)</w:t>
      </w:r>
      <w:r>
        <w:t xml:space="preserve">, con </w:t>
      </w:r>
      <w:r>
        <w:rPr>
          <w:b/>
          <w:bCs/>
        </w:rPr>
        <w:t xml:space="preserve">C# 14 sobre .NET 10</w:t>
      </w:r>
      <w:r>
        <w:t xml:space="preserve"> en el backend, una interfaz de usuario en </w:t>
      </w:r>
      <w:r>
        <w:rPr>
          <w:b/>
          <w:bCs/>
        </w:rPr>
        <w:t xml:space="preserve">Blazor</w:t>
      </w:r>
      <w:r>
        <w:t xml:space="preserve"> —con render interactivo en servidor, que mantiene la lógica y los datos personales fuera del navegador— y </w:t>
      </w:r>
      <w:r>
        <w:rPr>
          <w:b/>
          <w:bCs/>
        </w:rPr>
        <w:t xml:space="preserve">SQL Server 2022</w:t>
      </w:r>
      <w:r>
        <w:t xml:space="preserve"> como base de datos relacional, incorporando controles de seguridad transversales: autenticación con JWT, autorización basada en roles (RBAC), cifrado en tránsito (TLS) y en reposo (TDE/Always Encrypted) y un registro de auditoría inmutable. La evaluación se diseñó sobre cuatro variables: el proceso de desarrollo, el funcionamiento de los módulos críticos, el cumplimiento de los controles de </w:t>
      </w:r>
      <w:r>
        <w:rPr>
          <w:b/>
          <w:bCs/>
        </w:rPr>
        <w:t xml:space="preserve">seguridad y protección de datos</w:t>
      </w:r>
      <w:r>
        <w:t xml:space="preserve"> conforme a la </w:t>
      </w:r>
      <w:r>
        <w:rPr>
          <w:b/>
          <w:bCs/>
        </w:rPr>
        <w:t xml:space="preserve">Ley N.° 29733</w:t>
      </w:r>
      <w:r>
        <w:t xml:space="preserve"> y su reglamento (D.S. N.° 016-2024-JUS), y la usabilidad, esta última evaluada mediante la </w:t>
      </w:r>
      <w:r>
        <w:rPr>
          <w:b/>
          <w:bCs/>
        </w:rPr>
        <w:t xml:space="preserve">Escala de Usabilidad del Sistema (SUS)</w:t>
      </w:r>
      <w:r>
        <w:t xml:space="preserve"> sobre una muestra piloto. Los instrumentos fueron sometidos a </w:t>
      </w:r>
      <w:r>
        <w:rPr>
          <w:b/>
          <w:bCs/>
        </w:rPr>
        <w:t xml:space="preserve">validación por juicio de expertos</w:t>
      </w:r>
      <w:r>
        <w:t xml:space="preserve"> (V de Aiken) para garantizar su credibilidad. Se concluye que la plataforma diseñada constituye una solución tecnológica viable y segura que digitaliza el ciclo completo del trámite municipal, promoviendo la transparencia, la trazabilidad y la protección de los datos de la ciudadanía.</w:t>
      </w:r>
    </w:p>
    <w:p>
      <w:pPr>
        <w:spacing w:after="0" w:line="360"/>
        <w:ind w:firstLine="720"/>
        <w:jc w:val="left"/>
      </w:pPr>
      <w:r>
        <w:rPr>
          <w:b/>
          <w:bCs/>
        </w:rPr>
        <w:t xml:space="preserve">Palabras clave:</w:t>
      </w:r>
      <w:r>
        <w:t xml:space="preserve"> trámites municipales, gobierno digital, seguridad de la información, protección de datos personales, Spec-Driven Development, Clean Architecture.</w:t>
      </w:r>
    </w:p>
    <w:p>
      <w:pPr>
        <w:pStyle w:val="Heading2"/>
        <w:pageBreakBefore/>
        <w:spacing w:after="120" w:before="200" w:line="360"/>
      </w:pPr>
      <w:r>
        <w:t xml:space="preserve">Abstract</w:t>
      </w:r>
    </w:p>
    <w:p>
      <w:pPr>
        <w:spacing w:after="0" w:line="360"/>
        <w:ind w:firstLine="720"/>
        <w:jc w:val="left"/>
      </w:pPr>
      <w:r>
        <w:t xml:space="preserve">This </w:t>
      </w:r>
      <w:r>
        <w:rPr>
          <w:b/>
          <w:bCs/>
        </w:rPr>
        <w:t xml:space="preserve">applied–technological</w:t>
      </w:r>
      <w:r>
        <w:t xml:space="preserve"> and </w:t>
      </w:r>
      <w:r>
        <w:rPr>
          <w:b/>
          <w:bCs/>
        </w:rPr>
        <w:t xml:space="preserve">descriptive</w:t>
      </w:r>
      <w:r>
        <w:t xml:space="preserve"> project aimed to </w:t>
      </w:r>
      <w:r>
        <w:rPr>
          <w:b/>
          <w:bCs/>
        </w:rPr>
        <w:t xml:space="preserve">develop a web platform for the management of municipal procedures with a focus on security and personal data protection</w:t>
      </w:r>
      <w:r>
        <w:t xml:space="preserve">, materialized as a Minimum Viable Product (MVP). Methodologically, </w:t>
      </w:r>
      <w:r>
        <w:rPr>
          <w:b/>
          <w:bCs/>
        </w:rPr>
        <w:t xml:space="preserve">Spec-Driven Development (SDD)</w:t>
      </w:r>
      <w:r>
        <w:t xml:space="preserve"> was used as the main framework —where the specification precedes and guides the code—, complemented with </w:t>
      </w:r>
      <w:r>
        <w:rPr>
          <w:b/>
          <w:bCs/>
        </w:rPr>
        <w:t xml:space="preserve">Scrum</w:t>
      </w:r>
      <w:r>
        <w:t xml:space="preserve"> for the iterative management of the analysis, design, and implementation phases, and with </w:t>
      </w:r>
      <w:r>
        <w:rPr>
          <w:b/>
          <w:bCs/>
        </w:rPr>
        <w:t xml:space="preserve">Extreme Programming (XP)</w:t>
      </w:r>
      <w:r>
        <w:t xml:space="preserve"> practices to ensure code quality. Architecturally, the platform was structured using </w:t>
      </w:r>
      <w:r>
        <w:rPr>
          <w:b/>
          <w:bCs/>
        </w:rPr>
        <w:t xml:space="preserve">Clean Architecture</w:t>
      </w:r>
      <w:r>
        <w:t xml:space="preserve"> and </w:t>
      </w:r>
      <w:r>
        <w:rPr>
          <w:b/>
          <w:bCs/>
        </w:rPr>
        <w:t xml:space="preserve">Domain-Driven Design (DDD)</w:t>
      </w:r>
      <w:r>
        <w:t xml:space="preserve">, with </w:t>
      </w:r>
      <w:r>
        <w:rPr>
          <w:b/>
          <w:bCs/>
        </w:rPr>
        <w:t xml:space="preserve">C# 14 on .NET 10</w:t>
      </w:r>
      <w:r>
        <w:t xml:space="preserve"> in the backend, a </w:t>
      </w:r>
      <w:r>
        <w:rPr>
          <w:b/>
          <w:bCs/>
        </w:rPr>
        <w:t xml:space="preserve">Blazor</w:t>
      </w:r>
      <w:r>
        <w:t xml:space="preserve"> front-end —using server-side interactive rendering, which keeps logic and personal data off the browser— and </w:t>
      </w:r>
      <w:r>
        <w:rPr>
          <w:b/>
          <w:bCs/>
        </w:rPr>
        <w:t xml:space="preserve">SQL Server 2022</w:t>
      </w:r>
      <w:r>
        <w:t xml:space="preserve"> as the relational database, incorporating cross-cutting security controls: JWT authentication, role-based access control (RBAC), encryption in transit (TLS) and at rest (TDE/Always Encrypted), and an immutable audit log. The evaluation was designed around four variables: the development process, the operation of critical modules, compliance with </w:t>
      </w:r>
      <w:r>
        <w:rPr>
          <w:b/>
          <w:bCs/>
        </w:rPr>
        <w:t xml:space="preserve">security and personal data protection</w:t>
      </w:r>
      <w:r>
        <w:t xml:space="preserve"> controls under </w:t>
      </w:r>
      <w:r>
        <w:rPr>
          <w:b/>
          <w:bCs/>
        </w:rPr>
        <w:t xml:space="preserve">Law No. 29733</w:t>
      </w:r>
      <w:r>
        <w:t xml:space="preserve"> and its regulation (D.S. No. 016-2024-JUS), and usability, the latter assessed through the </w:t>
      </w:r>
      <w:r>
        <w:rPr>
          <w:b/>
          <w:bCs/>
        </w:rPr>
        <w:t xml:space="preserve">System Usability Scale (SUS)</w:t>
      </w:r>
      <w:r>
        <w:t xml:space="preserve"> on a pilot sample. The instruments were subjected to </w:t>
      </w:r>
      <w:r>
        <w:rPr>
          <w:b/>
          <w:bCs/>
        </w:rPr>
        <w:t xml:space="preserve">expert judgment validation</w:t>
      </w:r>
      <w:r>
        <w:t xml:space="preserve"> (Aiken's V) to ensure their credibility. It is concluded that the designed platform constitutes a viable and secure technological solution that digitizes the complete municipal procedure cycle, promoting transparency, traceability, and the protection of citizens' data.</w:t>
      </w:r>
    </w:p>
    <w:p>
      <w:pPr>
        <w:spacing w:after="0" w:line="360"/>
        <w:ind w:firstLine="720"/>
        <w:jc w:val="left"/>
      </w:pPr>
      <w:r>
        <w:rPr>
          <w:b/>
          <w:bCs/>
        </w:rPr>
        <w:t xml:space="preserve">Keywords:</w:t>
      </w:r>
      <w:r>
        <w:t xml:space="preserve"> municipal procedures, digital government, information security, personal data protection, Spec-Driven Development, Clean Architecture.</w:t>
      </w:r>
    </w:p>
    <w:p>
      <w:pPr>
        <w:pageBreakBefore/>
      </w:pPr>
    </w:p>
    <w:p>
      <w:pPr>
        <w:pStyle w:val="Heading1"/>
        <w:spacing w:after="120" w:before="200" w:line="360"/>
      </w:pPr>
      <w:r>
        <w:t xml:space="preserve">Introducción</w:t>
      </w:r>
    </w:p>
    <w:p>
      <w:pPr>
        <w:spacing w:after="0" w:line="360"/>
        <w:ind w:firstLine="720"/>
        <w:jc w:val="left"/>
      </w:pPr>
      <w:r>
        <w:t xml:space="preserve">En la última década, la transformación digital ha redefinido la relación entre los ciudadanos y el Estado. Los servicios públicos digitales —conocidos como </w:t>
      </w:r>
      <w:r>
        <w:rPr>
          <w:i/>
          <w:iCs/>
        </w:rPr>
        <w:t xml:space="preserve">gobierno electrónico</w:t>
      </w:r>
      <w:r>
        <w:t xml:space="preserve"> o </w:t>
      </w:r>
      <w:r>
        <w:rPr>
          <w:i/>
          <w:iCs/>
        </w:rPr>
        <w:t xml:space="preserve">e-government</w:t>
      </w:r>
      <w:r>
        <w:t xml:space="preserve">— han demostrado ser instrumentos eficaces para reducir la ineficiencia burocrática, incrementar la transparencia y limitar la discrecionalidad que favorece la corrupción en la atención presencial. La evidencia internacional señala que la digitalización del sector público tiene un efecto positivo y significativo sobre el control de la corrupción y la efectividad gubernamental, especialmente en los países en desarrollo, donde la corrupción y los flujos financieros ilícitos representan pérdidas superiores al billón de dólares anuales.</w:t>
      </w:r>
    </w:p>
    <w:p>
      <w:pPr>
        <w:spacing w:after="0" w:line="360"/>
        <w:ind w:firstLine="720"/>
        <w:jc w:val="left"/>
      </w:pPr>
      <w:r>
        <w:t xml:space="preserve">En el contexto nacional, el Perú ha avanzado en la construcción de plataformas digitales estatales; sin embargo, persiste una </w:t>
      </w:r>
      <w:r>
        <w:rPr>
          <w:b/>
          <w:bCs/>
        </w:rPr>
        <w:t xml:space="preserve">brecha crítica de digitalización a nivel municipal</w:t>
      </w:r>
      <w:r>
        <w:t xml:space="preserve">. De acuerdo con reportes recientes, solo el 31 % de las municipalidades cuenta con una Mesa de Partes Digital y apenas 199 de los 1 891 municipios del país tenían operativo el Sistema Único de Trámites durante 2024. Aunque más del 93 % de los gobiernos locales migró su portal al dominio institucional gob.pe, disponer de un sitio web no equivale a contar con procesos digitales ni interoperables. A esta brecha se suma que las municipalidades generan tres de cada cuatro barreras burocráticas identificadas por el Indecopi y encabezan los casos de corrupción en trámite registrados por la Defensoría del Pueblo.</w:t>
      </w:r>
    </w:p>
    <w:p>
      <w:pPr>
        <w:spacing w:after="0" w:line="360"/>
        <w:ind w:firstLine="720"/>
        <w:jc w:val="left"/>
      </w:pPr>
      <w:r>
        <w:t xml:space="preserve">Aterrizando el análisis en la región de Ayacucho, la situación reproduce el patrón nacional: la Municipalidad Provincial de Huamanga figuró como la entidad más quejada ante la Defensoría del Pueblo durante 2021 y 2022, y la atención a la ciudadanía continúa siendo predominantemente presencial y en horario de oficina. Tomando como caso de referencia la </w:t>
      </w:r>
      <w:r>
        <w:rPr>
          <w:b/>
          <w:bCs/>
        </w:rPr>
        <w:t xml:space="preserve">Municipalidad Distrital de San Juan Bautista</w:t>
      </w:r>
      <w:r>
        <w:t xml:space="preserve">, se observa que el ciudadano debe acudir físicamente para iniciar y dar seguimiento a sus trámites, lo que se traduce en pérdida de tiempo, sobrecostos, opacidad en el estado del expediente y exposición a prácticas irregulares.</w:t>
      </w:r>
    </w:p>
    <w:p>
      <w:pPr>
        <w:spacing w:after="0" w:line="360"/>
        <w:ind w:firstLine="720"/>
        <w:jc w:val="left"/>
      </w:pPr>
      <w:r>
        <w:t xml:space="preserve">A esta problemática operativa se añade una dimensión legal ineludible: el tratamiento de datos personales de la ciudadanía. Con la entrada en vigencia del nuevo Reglamento de la </w:t>
      </w:r>
      <w:r>
        <w:rPr>
          <w:b/>
          <w:bCs/>
        </w:rPr>
        <w:t xml:space="preserve">Ley N.° 29733 – Ley de Protección de Datos Personales</w:t>
      </w:r>
      <w:r>
        <w:t xml:space="preserve"> (Decreto Supremo N.° 016-2024-JUS, vigente desde marzo de 2024), las entidades públicas están obligadas a implementar medidas técnicas de seguridad, designar un Oficial de Datos Personales, atender los derechos de los titulares y notificar los incidentes de seguridad, bajo un régimen sancionador que en 2024 impuso multas por más de 13 millones de soles. La mayoría de municipios no está preparado para cumplir estas obligaciones.</w:t>
      </w:r>
    </w:p>
    <w:p>
      <w:pPr>
        <w:spacing w:after="0" w:line="360"/>
        <w:ind w:firstLine="720"/>
        <w:jc w:val="left"/>
      </w:pPr>
      <w:r>
        <w:t xml:space="preserve">Frente a este escenario surge la pregunta de investigación principal: </w:t>
      </w:r>
      <w:r>
        <w:rPr>
          <w:b/>
          <w:bCs/>
        </w:rPr>
        <w:t xml:space="preserve">¿cuáles son los resultados del desarrollo de una plataforma web para la gestión de trámites municipales con enfoque en seguridad y protección de datos personales, 2026?</w:t>
      </w:r>
      <w:r>
        <w:t xml:space="preserve"> Para responderla, el objetivo general del proyecto es desarrollar dicha plataforma, digitalizando el ciclo completo del trámite —inicio, pago, seguimiento y resolución— y garantizando la trazabilidad y la confidencialidad de la información mediante controles de seguridad desde el diseño.</w:t>
      </w:r>
    </w:p>
    <w:p>
      <w:pPr>
        <w:spacing w:after="0" w:line="360"/>
        <w:ind w:firstLine="720"/>
        <w:jc w:val="left"/>
      </w:pPr>
      <w:r>
        <w:t xml:space="preserve">El proyecto se justifica en tres planos. </w:t>
      </w:r>
      <w:r>
        <w:rPr>
          <w:b/>
          <w:bCs/>
        </w:rPr>
        <w:t xml:space="preserve">Prácticamente</w:t>
      </w:r>
      <w:r>
        <w:t xml:space="preserve">, provee una herramienta que reduce la fricción y la opacidad del trámite presencial, acercando el servicio municipal al ciudadano. </w:t>
      </w:r>
      <w:r>
        <w:rPr>
          <w:b/>
          <w:bCs/>
        </w:rPr>
        <w:t xml:space="preserve">Socialmente</w:t>
      </w:r>
      <w:r>
        <w:t xml:space="preserve">, promueve la transparencia y la equidad en el acceso a los servicios públicos, al eliminar la discrecionalidad de la ventanilla y registrar cada actuación de forma auditable. </w:t>
      </w:r>
      <w:r>
        <w:rPr>
          <w:b/>
          <w:bCs/>
        </w:rPr>
        <w:t xml:space="preserve">Metodológicamente</w:t>
      </w:r>
      <w:r>
        <w:t xml:space="preserve">, demuestra la viabilidad de aplicar </w:t>
      </w:r>
      <w:r>
        <w:rPr>
          <w:b/>
          <w:bCs/>
        </w:rPr>
        <w:t xml:space="preserve">Spec-Driven Development (SDD)</w:t>
      </w:r>
      <w:r>
        <w:t xml:space="preserve"> —complementado con Scrum y Extreme Programming— y una arquitectura moderna (Clean Architecture sobre .NET 10) para construir software público de calidad, seguro y conforme a la normativa de protección de datos.</w:t>
      </w:r>
    </w:p>
    <w:p>
      <w:pPr>
        <w:spacing w:after="0" w:line="360"/>
        <w:ind w:firstLine="720"/>
        <w:jc w:val="left"/>
      </w:pPr>
      <w:r>
        <w:t xml:space="preserve">En cuanto a sus alcances y delimitaciones, el proyecto se enfoca en el desarrollo de un Producto Mínimo Viable (MVP). La validación de las variables de funcionamiento y usabilidad se delimita a un entorno de pruebas controlado y a una muestra piloto no probabilística, adecuada para esta fase inicial. La integración con pasarelas de pago y con sistemas externos (RENIEC, SUNAT) se contempla en modo de prueba, quedando su implementación productiva como línea de trabajo futura.</w:t>
      </w:r>
    </w:p>
    <w:p>
      <w:pPr>
        <w:spacing w:after="0" w:line="360"/>
        <w:ind w:firstLine="720"/>
        <w:jc w:val="left"/>
      </w:pPr>
      <w:r>
        <w:t xml:space="preserve">Finalmente, el informe se organiza en cinco capítulos. El </w:t>
      </w:r>
      <w:r>
        <w:rPr>
          <w:b/>
          <w:bCs/>
        </w:rPr>
        <w:t xml:space="preserve">Capítulo I</w:t>
      </w:r>
      <w:r>
        <w:t xml:space="preserve"> presenta el planteamiento del problema, los objetivos y la justificación. El </w:t>
      </w:r>
      <w:r>
        <w:rPr>
          <w:b/>
          <w:bCs/>
        </w:rPr>
        <w:t xml:space="preserve">Capítulo II</w:t>
      </w:r>
      <w:r>
        <w:t xml:space="preserve"> desarrolla el marco teórico, abarcando los antecedentes y las bases conceptuales del gobierno digital, la ingeniería de software y la protección de datos. El </w:t>
      </w:r>
      <w:r>
        <w:rPr>
          <w:b/>
          <w:bCs/>
        </w:rPr>
        <w:t xml:space="preserve">Capítulo III</w:t>
      </w:r>
      <w:r>
        <w:t xml:space="preserve"> describe el material y los métodos, el tipo de investigación y la integración de las metodologías (SDD, Scrum y XP). El </w:t>
      </w:r>
      <w:r>
        <w:rPr>
          <w:b/>
          <w:bCs/>
        </w:rPr>
        <w:t xml:space="preserve">Capítulo IV</w:t>
      </w:r>
      <w:r>
        <w:t xml:space="preserve"> expone los resultados del desarrollo por fases y la discusión sobre la validación funcional, el cumplimiento de seguridad y la evaluación de la usabilidad. Por último, el </w:t>
      </w:r>
      <w:r>
        <w:rPr>
          <w:b/>
          <w:bCs/>
        </w:rPr>
        <w:t xml:space="preserve">Capítulo V</w:t>
      </w:r>
      <w:r>
        <w:t xml:space="preserve"> presenta las conclusiones y las recomendaciones para futuras líneas de trabajo.</w:t>
      </w:r>
    </w:p>
    <w:p>
      <w:pPr>
        <w:pageBreakBefore/>
      </w:pPr>
    </w:p>
    <w:p>
      <w:pPr>
        <w:pStyle w:val="Heading1"/>
        <w:spacing w:after="120" w:before="200" w:line="360"/>
      </w:pPr>
      <w:r>
        <w:t xml:space="preserve">Capítulo I</w:t>
      </w:r>
    </w:p>
    <w:p>
      <w:pPr>
        <w:pStyle w:val="Heading2"/>
        <w:spacing w:after="120" w:before="200" w:line="360"/>
      </w:pPr>
      <w:r>
        <w:t xml:space="preserve">Planteamiento del Problema</w:t>
      </w:r>
    </w:p>
    <w:p>
      <w:pPr>
        <w:pStyle w:val="Heading3"/>
        <w:spacing w:after="120" w:before="200" w:line="360"/>
      </w:pPr>
      <w:r>
        <w:t xml:space="preserve">1.1 Diagnóstico y enunciado del problema</w:t>
      </w:r>
    </w:p>
    <w:p>
      <w:pPr>
        <w:pStyle w:val="Heading4"/>
        <w:spacing w:after="120" w:before="200" w:line="360"/>
      </w:pPr>
      <w:r>
        <w:t xml:space="preserve">1.1.1 Contexto global</w:t>
      </w:r>
    </w:p>
    <w:p>
      <w:pPr>
        <w:spacing w:after="0" w:line="360"/>
        <w:ind w:firstLine="720"/>
        <w:jc w:val="left"/>
      </w:pPr>
      <w:r>
        <w:t xml:space="preserve">La administración pública mundial atraviesa una transformación estructural impulsada por la digitalización. El paradigma del </w:t>
      </w:r>
      <w:r>
        <w:rPr>
          <w:b/>
          <w:bCs/>
        </w:rPr>
        <w:t xml:space="preserve">gobierno electrónico</w:t>
      </w:r>
      <w:r>
        <w:t xml:space="preserve"> (</w:t>
      </w:r>
      <w:r>
        <w:rPr>
          <w:i/>
          <w:iCs/>
        </w:rPr>
        <w:t xml:space="preserve">e-government</w:t>
      </w:r>
      <w:r>
        <w:t xml:space="preserve">) —entendido como el uso intensivo de las tecnologías de la información y la comunicación (TIC) para la prestación de servicios públicos— ha dejado de ser una aspiración para convertirse en un estándar de calidad institucional. Diversos organismos internacionales, como la Organización de las Naciones Unidas a través de su Índice de Desarrollo de Gobierno Electrónico (EGDI), evalúan periódicamente el grado de madurez digital de los Estados, reconociendo que la digitalización de los trámites es un indicador directo de modernización estatal.</w:t>
      </w:r>
    </w:p>
    <w:p>
      <w:pPr>
        <w:spacing w:after="0" w:line="360"/>
        <w:ind w:firstLine="720"/>
        <w:jc w:val="left"/>
      </w:pPr>
      <w:r>
        <w:t xml:space="preserve">La literatura académica es consistente al señalar que la digitalización del sector público ejerce un efecto positivo y significativo sobre el </w:t>
      </w:r>
      <w:r>
        <w:rPr>
          <w:b/>
          <w:bCs/>
        </w:rPr>
        <w:t xml:space="preserve">control de la corrupción</w:t>
      </w:r>
      <w:r>
        <w:t xml:space="preserve"> y la </w:t>
      </w:r>
      <w:r>
        <w:rPr>
          <w:b/>
          <w:bCs/>
        </w:rPr>
        <w:t xml:space="preserve">efectividad gubernamental</w:t>
      </w:r>
      <w:r>
        <w:t xml:space="preserve">, particularmente en los países en desarrollo. El mecanismo es claro: al reemplazar la interacción presencial en la ventanilla por procesos reglados, trazables y sin contacto discrecional, se elimina la denominada </w:t>
      </w:r>
      <w:r>
        <w:rPr>
          <w:i/>
          <w:iCs/>
        </w:rPr>
        <w:t xml:space="preserve">petty corruption</w:t>
      </w:r>
      <w:r>
        <w:t xml:space="preserve"> —la pequeña corrupción cotidiana de la coima por agilizar un trámite—. La magnitud del problema que se busca mitigar es considerable: la corrupción, la evasión tributaria y otros flujos financieros ilícitos representan pérdidas cercanas a los </w:t>
      </w:r>
      <w:r>
        <w:rPr>
          <w:b/>
          <w:bCs/>
        </w:rPr>
        <w:t xml:space="preserve">1,26 billones de dólares anuales</w:t>
      </w:r>
      <w:r>
        <w:t xml:space="preserve"> para los países en desarrollo, recursos que dejan de destinarse al bienestar de la población.</w:t>
      </w:r>
    </w:p>
    <w:p>
      <w:pPr>
        <w:spacing w:after="0" w:line="360"/>
        <w:ind w:firstLine="720"/>
        <w:jc w:val="left"/>
      </w:pPr>
      <w:r>
        <w:t xml:space="preserve">No obstante, la evidencia internacional también advierte sobre los </w:t>
      </w:r>
      <w:r>
        <w:rPr>
          <w:b/>
          <w:bCs/>
        </w:rPr>
        <w:t xml:space="preserve">retos de implementación</w:t>
      </w:r>
      <w:r>
        <w:t xml:space="preserve">: la insuficiencia de infraestructura tecnológica, la escasez de habilidades digitales tanto en los funcionarios como en la ciudadanía, la limitada colaboración interinstitucional, la desigualdad en el acceso a internet y la desconfianza ciudadana hacia los servicios digitales del Estado. Estos factores condicionan el éxito de cualquier iniciativa de gobierno digital y deben ser considerados desde el diseño de la solución.</w:t>
      </w:r>
    </w:p>
    <w:p>
      <w:pPr>
        <w:pStyle w:val="Heading4"/>
        <w:spacing w:after="120" w:before="200" w:line="360"/>
      </w:pPr>
      <w:r>
        <w:t xml:space="preserve">1.1.2 Contexto nacional</w:t>
      </w:r>
    </w:p>
    <w:p>
      <w:pPr>
        <w:spacing w:after="0" w:line="360"/>
        <w:ind w:firstLine="720"/>
        <w:jc w:val="left"/>
      </w:pPr>
      <w:r>
        <w:t xml:space="preserve">En el Perú, el marco normativo para la digitalización estatal está dado por el </w:t>
      </w:r>
      <w:r>
        <w:rPr>
          <w:b/>
          <w:bCs/>
        </w:rPr>
        <w:t xml:space="preserve">Decreto Legislativo N.° 1412, Ley de Gobierno Digital</w:t>
      </w:r>
      <w:r>
        <w:t xml:space="preserve">, y por las directivas de la Secretaría de Gobierno y Transformación Digital de la Presidencia del Consejo de Ministros. Este marco establece la obligación de las entidades públicas de transformar digitalmente sus servicios y de garantizar la interoperabilidad entre sus plataformas. Sin embargo, existe una brecha sustancial entre el marco normativo y su implementación efectiva, especialmente en el nivel municipal.</w:t>
      </w:r>
    </w:p>
    <w:p>
      <w:pPr>
        <w:spacing w:after="0" w:line="360"/>
        <w:ind w:firstLine="720"/>
        <w:jc w:val="left"/>
      </w:pPr>
      <w:r>
        <w:t xml:space="preserve">Los indicadores disponibles evidencian la magnitud de esta brecha:</w:t>
      </w:r>
    </w:p>
    <w:p>
      <w:pPr>
        <w:pStyle w:val="ListParagraph"/>
        <w:numPr>
          <w:ilvl w:val="0"/>
          <w:numId w:val="2"/>
        </w:numPr>
        <w:spacing w:after="40" w:line="360"/>
      </w:pPr>
      <w:r>
        <w:t xml:space="preserve">Únicamente el </w:t>
      </w:r>
      <w:r>
        <w:rPr>
          <w:b/>
          <w:bCs/>
        </w:rPr>
        <w:t xml:space="preserve">31 %</w:t>
      </w:r>
      <w:r>
        <w:t xml:space="preserve"> de las municipalidades del país dispone de una </w:t>
      </w:r>
      <w:r>
        <w:rPr>
          <w:b/>
          <w:bCs/>
        </w:rPr>
        <w:t xml:space="preserve">Mesa de Partes Digital</w:t>
      </w:r>
      <w:r>
        <w:t xml:space="preserve">, herramienta básica para la recepción no presencial de documentos.</w:t>
      </w:r>
    </w:p>
    <w:p>
      <w:pPr>
        <w:pStyle w:val="ListParagraph"/>
        <w:numPr>
          <w:ilvl w:val="0"/>
          <w:numId w:val="2"/>
        </w:numPr>
        <w:spacing w:after="40" w:line="360"/>
      </w:pPr>
      <w:r>
        <w:t xml:space="preserve">Apenas el </w:t>
      </w:r>
      <w:r>
        <w:rPr>
          <w:b/>
          <w:bCs/>
        </w:rPr>
        <w:t xml:space="preserve">2 %</w:t>
      </w:r>
      <w:r>
        <w:t xml:space="preserve"> ha implementado un </w:t>
      </w:r>
      <w:r>
        <w:rPr>
          <w:b/>
          <w:bCs/>
        </w:rPr>
        <w:t xml:space="preserve">Modelo de Gestión Documental</w:t>
      </w:r>
      <w:r>
        <w:t xml:space="preserve"> conforme a los estándares nacionales.</w:t>
      </w:r>
    </w:p>
    <w:p>
      <w:pPr>
        <w:pStyle w:val="ListParagraph"/>
        <w:numPr>
          <w:ilvl w:val="0"/>
          <w:numId w:val="2"/>
        </w:numPr>
        <w:spacing w:after="40" w:line="360"/>
      </w:pPr>
      <w:r>
        <w:t xml:space="preserve">Solo </w:t>
      </w:r>
      <w:r>
        <w:rPr>
          <w:b/>
          <w:bCs/>
        </w:rPr>
        <w:t xml:space="preserve">199 de los 1 891 municipios</w:t>
      </w:r>
      <w:r>
        <w:t xml:space="preserve"> del país —alrededor del </w:t>
      </w:r>
      <w:r>
        <w:rPr>
          <w:b/>
          <w:bCs/>
        </w:rPr>
        <w:t xml:space="preserve">10,5 %</w:t>
      </w:r>
      <w:r>
        <w:t xml:space="preserve">— tenían operativo el </w:t>
      </w:r>
      <w:r>
        <w:rPr>
          <w:b/>
          <w:bCs/>
        </w:rPr>
        <w:t xml:space="preserve">Sistema Único de Trámites (SUT)</w:t>
      </w:r>
      <w:r>
        <w:t xml:space="preserve"> durante el año 2024.</w:t>
      </w:r>
    </w:p>
    <w:p>
      <w:pPr>
        <w:pStyle w:val="ListParagraph"/>
        <w:numPr>
          <w:ilvl w:val="0"/>
          <w:numId w:val="2"/>
        </w:numPr>
        <w:spacing w:after="40" w:line="360"/>
      </w:pPr>
      <w:r>
        <w:t xml:space="preserve">Si bien el </w:t>
      </w:r>
      <w:r>
        <w:rPr>
          <w:b/>
          <w:bCs/>
        </w:rPr>
        <w:t xml:space="preserve">93,81 %</w:t>
      </w:r>
      <w:r>
        <w:t xml:space="preserve"> de los gobiernos locales migró su portal institucional al dominio oficial </w:t>
      </w:r>
      <w:r>
        <w:rPr>
          <w:rFonts w:ascii="Courier New" w:cs="Courier New" w:eastAsia="Courier New" w:hAnsi="Courier New"/>
        </w:rPr>
        <w:t xml:space="preserve">gob.pe</w:t>
      </w:r>
      <w:r>
        <w:t xml:space="preserve">, disponer de un sitio web informativo </w:t>
      </w:r>
      <w:r>
        <w:rPr>
          <w:b/>
          <w:bCs/>
        </w:rPr>
        <w:t xml:space="preserve">no equivale</w:t>
      </w:r>
      <w:r>
        <w:t xml:space="preserve"> a contar con procesos digitales transaccionales ni interoperables entre los distintos niveles de gobierno.</w:t>
      </w:r>
    </w:p>
    <w:p>
      <w:pPr>
        <w:spacing w:after="0" w:line="360"/>
        <w:ind w:firstLine="720"/>
        <w:jc w:val="left"/>
      </w:pPr>
      <w:r>
        <w:t xml:space="preserve">A la brecha estrictamente tecnológica se suma un componente burocrático y de integridad pública que agrava la situación. De acuerdo con el Instituto Nacional de Defensa de la Competencia y de la Protección de la Propiedad Intelectual (Indecopi), </w:t>
      </w:r>
      <w:r>
        <w:rPr>
          <w:b/>
          <w:bCs/>
        </w:rPr>
        <w:t xml:space="preserve">tres de cada cuatro barreras burocráticas</w:t>
      </w:r>
      <w:r>
        <w:t xml:space="preserve"> eliminadas en los últimos cinco años fueron impuestas por municipalidades provinciales o distritales, en su mayoría por exigencias innecesarias para la obtención de permisos y la realización de trámites. En paralelo, la Defensoría del Pueblo reporta que las municipalidades </w:t>
      </w:r>
      <w:r>
        <w:rPr>
          <w:b/>
          <w:bCs/>
        </w:rPr>
        <w:t xml:space="preserve">encabezan</w:t>
      </w:r>
      <w:r>
        <w:t xml:space="preserve"> los casos de corrupción en trámite —más del </w:t>
      </w:r>
      <w:r>
        <w:rPr>
          <w:b/>
          <w:bCs/>
        </w:rPr>
        <w:t xml:space="preserve">37 %</w:t>
      </w:r>
      <w:r>
        <w:t xml:space="preserve"> del total registrado en la segunda mitad de 2024—, contabilizándose más de </w:t>
      </w:r>
      <w:r>
        <w:rPr>
          <w:b/>
          <w:bCs/>
        </w:rPr>
        <w:t xml:space="preserve">40 000 casos</w:t>
      </w:r>
      <w:r>
        <w:t xml:space="preserve"> a nivel nacional. Esta problemática se refleja en la percepción internacional: en 2025 el Perú se ubicó en el puesto </w:t>
      </w:r>
      <w:r>
        <w:rPr>
          <w:b/>
          <w:bCs/>
        </w:rPr>
        <w:t xml:space="preserve">127 de 180 países</w:t>
      </w:r>
      <w:r>
        <w:t xml:space="preserve"> del Índice de Percepción de la Corrupción, resultado atribuido en parte al exceso de burocracia y a la debilidad de los controles.</w:t>
      </w:r>
    </w:p>
    <w:p>
      <w:pPr>
        <w:pStyle w:val="Heading4"/>
        <w:spacing w:after="120" w:before="200" w:line="360"/>
      </w:pPr>
      <w:r>
        <w:t xml:space="preserve">1.1.3 Contexto regional y local</w:t>
      </w:r>
    </w:p>
    <w:p>
      <w:pPr>
        <w:spacing w:after="0" w:line="360"/>
        <w:ind w:firstLine="720"/>
        <w:jc w:val="left"/>
      </w:pPr>
      <w:r>
        <w:t xml:space="preserve">Aterrizando el diagnóstico en la región de Ayacucho, el patrón nacional se reproduce con nitidez. La </w:t>
      </w:r>
      <w:r>
        <w:rPr>
          <w:b/>
          <w:bCs/>
        </w:rPr>
        <w:t xml:space="preserve">Municipalidad Provincial de Huamanga</w:t>
      </w:r>
      <w:r>
        <w:t xml:space="preserve"> fue la entidad </w:t>
      </w:r>
      <w:r>
        <w:rPr>
          <w:b/>
          <w:bCs/>
        </w:rPr>
        <w:t xml:space="preserve">más quejada</w:t>
      </w:r>
      <w:r>
        <w:t xml:space="preserve"> ante la Defensoría del Pueblo durante dos años consecutivos: </w:t>
      </w:r>
      <w:r>
        <w:rPr>
          <w:b/>
          <w:bCs/>
        </w:rPr>
        <w:t xml:space="preserve">75 casos en 2021</w:t>
      </w:r>
      <w:r>
        <w:t xml:space="preserve"> y </w:t>
      </w:r>
      <w:r>
        <w:rPr>
          <w:b/>
          <w:bCs/>
        </w:rPr>
        <w:t xml:space="preserve">77 casos en 2022</w:t>
      </w:r>
      <w:r>
        <w:t xml:space="preserve">, liderando el ranking regional de quejas ciudadanas. Este dato revela un malestar sostenido de la población respecto a la atención que reciben de sus autoridades locales.</w:t>
      </w:r>
    </w:p>
    <w:p>
      <w:pPr>
        <w:spacing w:after="0" w:line="360"/>
        <w:ind w:firstLine="720"/>
        <w:jc w:val="left"/>
      </w:pPr>
      <w:r>
        <w:t xml:space="preserve">Tomando como </w:t>
      </w:r>
      <w:r>
        <w:rPr>
          <w:b/>
          <w:bCs/>
        </w:rPr>
        <w:t xml:space="preserve">caso de referencia</w:t>
      </w:r>
      <w:r>
        <w:t xml:space="preserve"> la </w:t>
      </w:r>
      <w:r>
        <w:rPr>
          <w:b/>
          <w:bCs/>
        </w:rPr>
        <w:t xml:space="preserve">Municipalidad Distrital de San Juan Bautista</w:t>
      </w:r>
      <w:r>
        <w:t xml:space="preserve">, uno de los distritos más poblados de la provincia de Huamanga, se observa que la gestión de trámites mantiene un carácter predominantemente </w:t>
      </w:r>
      <w:r>
        <w:rPr>
          <w:b/>
          <w:bCs/>
        </w:rPr>
        <w:t xml:space="preserve">presencial</w:t>
      </w:r>
      <w:r>
        <w:t xml:space="preserve">, con atención en horario partido (mañana y tarde), lo que obliga al ciudadano a desplazarse físicamente hasta las instalaciones municipales dentro de un horario restringido. Esta modalidad genera un conjunto de deficiencias que se detallan a continuación.</w:t>
      </w:r>
    </w:p>
    <w:p>
      <w:pPr>
        <w:pStyle w:val="Heading4"/>
        <w:spacing w:after="120" w:before="200" w:line="360"/>
      </w:pPr>
      <w:r>
        <w:t xml:space="preserve">1.1.4 Deficiencias identificadas</w:t>
      </w:r>
    </w:p>
    <w:p>
      <w:pPr>
        <w:spacing w:after="0" w:line="360"/>
        <w:ind w:firstLine="720"/>
        <w:jc w:val="left"/>
      </w:pPr>
      <w:r>
        <w:rPr>
          <w:b/>
          <w:bCs/>
        </w:rPr>
        <w:t xml:space="preserve">1. Procesos manuales y presenciales.</w:t>
      </w:r>
      <w:r>
        <w:t xml:space="preserve"> El ciudadano debe acudir físicamente y esperar en cola para iniciar un trámite, presentar documentos o simplemente consultar el estado de su expediente. Esto se traduce en pérdida de horas de trabajo, costos de transporte y una experiencia de atención deficiente. La imposibilidad de realizar seguimiento remoto obliga a visitas reiteradas a la municipalidad, multiplicando el costo en tiempo y dinero para el solicitante.</w:t>
      </w:r>
    </w:p>
    <w:p>
      <w:pPr>
        <w:spacing w:after="0" w:line="360"/>
        <w:ind w:firstLine="720"/>
        <w:jc w:val="left"/>
      </w:pPr>
      <w:r>
        <w:rPr>
          <w:b/>
          <w:bCs/>
        </w:rPr>
        <w:t xml:space="preserve">2. Baja digitalización y ausencia de trazabilidad.</w:t>
      </w:r>
      <w:r>
        <w:t xml:space="preserve"> La carencia de sistemas integrados impide conocer, en tiempo real, en qué etapa se encuentra un trámite, qué funcionario lo tiene a su cargo y cuándo se estima su resolución. Esta opacidad genera incertidumbre en el ciudadano y dificulta la rendición de cuentas de la propia institución, que tampoco cuenta con información consolidada para la toma de decisiones.</w:t>
      </w:r>
    </w:p>
    <w:p>
      <w:pPr>
        <w:spacing w:after="0" w:line="360"/>
        <w:ind w:firstLine="720"/>
        <w:jc w:val="left"/>
      </w:pPr>
      <w:r>
        <w:rPr>
          <w:b/>
          <w:bCs/>
        </w:rPr>
        <w:t xml:space="preserve">3. Discrecionalidad y riesgo de corrupción.</w:t>
      </w:r>
      <w:r>
        <w:t xml:space="preserve"> La interacción presencial sin un registro auditable de cada actuación abre espacios para prácticas irregulares, tratos preferenciales y solicitudes indebidas. La ausencia de un rastro digital inmodificable dificulta la fiscalización y la sanción de estas conductas, perpetuando un entorno de baja integridad.</w:t>
      </w:r>
    </w:p>
    <w:p>
      <w:pPr>
        <w:spacing w:after="0" w:line="360"/>
        <w:ind w:firstLine="720"/>
        <w:jc w:val="left"/>
      </w:pPr>
      <w:r>
        <w:rPr>
          <w:b/>
          <w:bCs/>
        </w:rPr>
        <w:t xml:space="preserve">4. Debilidad en la protección de datos personales.</w:t>
      </w:r>
      <w:r>
        <w:t xml:space="preserve"> Con la entrada en vigencia del nuevo </w:t>
      </w:r>
      <w:r>
        <w:rPr>
          <w:b/>
          <w:bCs/>
        </w:rPr>
        <w:t xml:space="preserve">Reglamento de la Ley N.° 29733 – Ley de Protección de Datos Personales</w:t>
      </w:r>
      <w:r>
        <w:t xml:space="preserve"> (Decreto Supremo N.° 016-2024-JUS, vigente desde marzo de 2024), las entidades públicas están obligadas a implementar medidas técnicas de seguridad, designar un Oficial de Datos Personales, atender los derechos de los titulares y notificar los incidentes de seguridad. Sin embargo, la mayoría de municipios carece de la infraestructura y los procesos para cumplir estas obligaciones, exponiéndose a un régimen sancionador que en 2024 impuso multas por más de </w:t>
      </w:r>
      <w:r>
        <w:rPr>
          <w:b/>
          <w:bCs/>
        </w:rPr>
        <w:t xml:space="preserve">13,4 millones de soles</w:t>
      </w:r>
      <w:r>
        <w:t xml:space="preserve">, y —más grave aún— vulnerando el derecho fundamental a la protección de datos de la ciudadanía.</w:t>
      </w:r>
    </w:p>
    <w:p>
      <w:pPr>
        <w:pStyle w:val="Heading4"/>
        <w:spacing w:after="120" w:before="200" w:line="360"/>
      </w:pPr>
      <w:r>
        <w:t xml:space="preserve">1.1.5 Consecuencias del problema</w:t>
      </w:r>
    </w:p>
    <w:p>
      <w:pPr>
        <w:spacing w:after="0" w:line="360"/>
        <w:ind w:firstLine="720"/>
        <w:jc w:val="left"/>
      </w:pPr>
      <w:r>
        <w:t xml:space="preserve">La ausencia de una plataforma web dedicada, segura y trazable para la gestión de trámites municipales genera consecuencias negativas tangibles tanto para la ciudadanía como para la propia institución:</w:t>
      </w:r>
    </w:p>
    <w:p>
      <w:pPr>
        <w:pStyle w:val="ListParagraph"/>
        <w:numPr>
          <w:ilvl w:val="0"/>
          <w:numId w:val="2"/>
        </w:numPr>
        <w:spacing w:after="40" w:line="360"/>
      </w:pPr>
      <w:r>
        <w:rPr>
          <w:b/>
          <w:bCs/>
        </w:rPr>
        <w:t xml:space="preserve">Limitación del acceso al servicio:</w:t>
      </w:r>
      <w:r>
        <w:t xml:space="preserve"> los ciudadanos con menor disponibilidad de tiempo o que residen lejos de la sede municipal ven restringido su acceso a los servicios públicos.</w:t>
      </w:r>
    </w:p>
    <w:p>
      <w:pPr>
        <w:pStyle w:val="ListParagraph"/>
        <w:numPr>
          <w:ilvl w:val="0"/>
          <w:numId w:val="2"/>
        </w:numPr>
        <w:spacing w:after="40" w:line="360"/>
      </w:pPr>
      <w:r>
        <w:rPr>
          <w:b/>
          <w:bCs/>
        </w:rPr>
        <w:t xml:space="preserve">Ineficiencia administrativa:</w:t>
      </w:r>
      <w:r>
        <w:t xml:space="preserve"> el procesamiento manual incrementa los tiempos, multiplica los errores y dificulta la gestión de grandes volúmenes de trámites.</w:t>
      </w:r>
    </w:p>
    <w:p>
      <w:pPr>
        <w:pStyle w:val="ListParagraph"/>
        <w:numPr>
          <w:ilvl w:val="0"/>
          <w:numId w:val="2"/>
        </w:numPr>
        <w:spacing w:after="40" w:line="360"/>
      </w:pPr>
      <w:r>
        <w:rPr>
          <w:b/>
          <w:bCs/>
        </w:rPr>
        <w:t xml:space="preserve">Persistencia de espacios de corrupción:</w:t>
      </w:r>
      <w:r>
        <w:t xml:space="preserve"> la falta de trazabilidad mantiene abiertos los márgenes para la discrecionalidad y las prácticas irregulares.</w:t>
      </w:r>
    </w:p>
    <w:p>
      <w:pPr>
        <w:pStyle w:val="ListParagraph"/>
        <w:numPr>
          <w:ilvl w:val="0"/>
          <w:numId w:val="2"/>
        </w:numPr>
        <w:spacing w:after="40" w:line="360"/>
      </w:pPr>
      <w:r>
        <w:rPr>
          <w:b/>
          <w:bCs/>
        </w:rPr>
        <w:t xml:space="preserve">Riesgo legal y reputacional:</w:t>
      </w:r>
      <w:r>
        <w:t xml:space="preserve"> el incumplimiento de la normativa de protección de datos expone a la municipalidad a sanciones económicas y al deterioro de la confianza ciudadana.</w:t>
      </w:r>
    </w:p>
    <w:p>
      <w:pPr>
        <w:spacing w:after="0" w:line="360"/>
        <w:ind w:firstLine="720"/>
        <w:jc w:val="left"/>
      </w:pPr>
      <w:r>
        <w:t xml:space="preserve">Ante este escenario, se identifica la necesidad de una solución tecnológica que </w:t>
      </w:r>
      <w:r>
        <w:rPr>
          <w:b/>
          <w:bCs/>
        </w:rPr>
        <w:t xml:space="preserve">digitalice el ciclo completo del trámite</w:t>
      </w:r>
      <w:r>
        <w:t xml:space="preserve"> —inicio, pago, seguimiento y resolución— e incorpore la seguridad de la información y la protección de datos personales </w:t>
      </w:r>
      <w:r>
        <w:rPr>
          <w:b/>
          <w:bCs/>
        </w:rPr>
        <w:t xml:space="preserve">desde el diseño</w:t>
      </w:r>
      <w:r>
        <w:t xml:space="preserve"> (</w:t>
      </w:r>
      <w:r>
        <w:rPr>
          <w:i/>
          <w:iCs/>
        </w:rPr>
        <w:t xml:space="preserve">security and privacy by design</w:t>
      </w:r>
      <w:r>
        <w:t xml:space="preserve">). En este sentido, se formula la interrogante principal que guía el presente proyecto: </w:t>
      </w:r>
      <w:r>
        <w:rPr>
          <w:b/>
          <w:bCs/>
        </w:rPr>
        <w:t xml:space="preserve">¿cuáles son los resultados del desarrollo de una plataforma web para la gestión de trámites municipales con enfoque en seguridad y protección de datos personales, 2026?</w:t>
      </w:r>
    </w:p>
    <w:p>
      <w:pPr>
        <w:pStyle w:val="Heading3"/>
        <w:spacing w:after="120" w:before="200" w:line="360"/>
      </w:pPr>
      <w:r>
        <w:t xml:space="preserve">1.2 Formulación del problema</w:t>
      </w:r>
    </w:p>
    <w:p>
      <w:pPr>
        <w:pStyle w:val="Heading4"/>
        <w:spacing w:after="120" w:before="200" w:line="360"/>
      </w:pPr>
      <w:r>
        <w:t xml:space="preserve">1.2.1 Problema general</w:t>
      </w:r>
    </w:p>
    <w:p>
      <w:pPr>
        <w:spacing w:after="0" w:line="360"/>
        <w:ind w:firstLine="720"/>
        <w:jc w:val="left"/>
      </w:pPr>
      <w:r>
        <w:t xml:space="preserve">¿Cuáles son los resultados del desarrollo de una plataforma web para la gestión de trámites municipales con enfoque en seguridad y protección de datos personales, 2026?</w:t>
      </w:r>
    </w:p>
    <w:p>
      <w:pPr>
        <w:pStyle w:val="Heading4"/>
        <w:spacing w:after="120" w:before="200" w:line="360"/>
      </w:pPr>
      <w:r>
        <w:t xml:space="preserve">1.2.2 Problemas específicos</w:t>
      </w:r>
    </w:p>
    <w:p>
      <w:pPr>
        <w:pStyle w:val="ListParagraph"/>
        <w:numPr>
          <w:ilvl w:val="0"/>
          <w:numId w:val="2"/>
        </w:numPr>
        <w:spacing w:after="40" w:line="360"/>
      </w:pPr>
      <w:r>
        <w:rPr>
          <w:b/>
          <w:bCs/>
        </w:rPr>
        <w:t xml:space="preserve">PE1.</w:t>
      </w:r>
      <w:r>
        <w:t xml:space="preserve"> ¿Cuáles son los resultados de la fase de análisis del desarrollo de la plataforma?</w:t>
      </w:r>
    </w:p>
    <w:p>
      <w:pPr>
        <w:pStyle w:val="ListParagraph"/>
        <w:numPr>
          <w:ilvl w:val="0"/>
          <w:numId w:val="2"/>
        </w:numPr>
        <w:spacing w:after="40" w:line="360"/>
      </w:pPr>
      <w:r>
        <w:rPr>
          <w:b/>
          <w:bCs/>
        </w:rPr>
        <w:t xml:space="preserve">PE2.</w:t>
      </w:r>
      <w:r>
        <w:t xml:space="preserve"> ¿Cuáles son los resultados de la fase de diseño (arquitectura, modelo de datos y controles de seguridad) de la plataforma?</w:t>
      </w:r>
    </w:p>
    <w:p>
      <w:pPr>
        <w:pStyle w:val="ListParagraph"/>
        <w:numPr>
          <w:ilvl w:val="0"/>
          <w:numId w:val="2"/>
        </w:numPr>
        <w:spacing w:after="40" w:line="360"/>
      </w:pPr>
      <w:r>
        <w:rPr>
          <w:b/>
          <w:bCs/>
        </w:rPr>
        <w:t xml:space="preserve">PE3.</w:t>
      </w:r>
      <w:r>
        <w:t xml:space="preserve"> ¿Cuáles son los resultados de la fase de implementación de los módulos de la plataforma?</w:t>
      </w:r>
    </w:p>
    <w:p>
      <w:pPr>
        <w:pStyle w:val="ListParagraph"/>
        <w:numPr>
          <w:ilvl w:val="0"/>
          <w:numId w:val="2"/>
        </w:numPr>
        <w:spacing w:after="40" w:line="360"/>
      </w:pPr>
      <w:r>
        <w:rPr>
          <w:b/>
          <w:bCs/>
        </w:rPr>
        <w:t xml:space="preserve">PE4.</w:t>
      </w:r>
      <w:r>
        <w:t xml:space="preserve"> ¿Cuál es el nivel de cumplimiento del funcionamiento de los módulos críticos (autenticación, autorización, cifrado, flujo de trámite y auditoría)?</w:t>
      </w:r>
    </w:p>
    <w:p>
      <w:pPr>
        <w:pStyle w:val="ListParagraph"/>
        <w:numPr>
          <w:ilvl w:val="0"/>
          <w:numId w:val="2"/>
        </w:numPr>
        <w:spacing w:after="40" w:line="360"/>
      </w:pPr>
      <w:r>
        <w:rPr>
          <w:b/>
          <w:bCs/>
        </w:rPr>
        <w:t xml:space="preserve">PE5.</w:t>
      </w:r>
      <w:r>
        <w:t xml:space="preserve"> ¿Cuál es el nivel de cumplimiento de los controles de seguridad y protección de datos personales conforme a la Ley N.° 29733?</w:t>
      </w:r>
    </w:p>
    <w:p>
      <w:pPr>
        <w:pStyle w:val="ListParagraph"/>
        <w:numPr>
          <w:ilvl w:val="0"/>
          <w:numId w:val="2"/>
        </w:numPr>
        <w:spacing w:after="40" w:line="360"/>
      </w:pPr>
      <w:r>
        <w:rPr>
          <w:b/>
          <w:bCs/>
        </w:rPr>
        <w:t xml:space="preserve">PE6.</w:t>
      </w:r>
      <w:r>
        <w:t xml:space="preserve"> ¿Cuál es el nivel de usabilidad de la plataforma desarrollada?</w:t>
      </w:r>
    </w:p>
    <w:p>
      <w:pPr>
        <w:pStyle w:val="Heading3"/>
        <w:spacing w:after="120" w:before="200" w:line="360"/>
      </w:pPr>
      <w:r>
        <w:t xml:space="preserve">1.3 Objetivos</w:t>
      </w:r>
    </w:p>
    <w:p>
      <w:pPr>
        <w:pStyle w:val="Heading4"/>
        <w:spacing w:after="120" w:before="200" w:line="360"/>
      </w:pPr>
      <w:r>
        <w:t xml:space="preserve">1.3.1 Objetivo general</w:t>
      </w:r>
    </w:p>
    <w:p>
      <w:pPr>
        <w:spacing w:after="0" w:line="360"/>
        <w:ind w:firstLine="720"/>
        <w:jc w:val="left"/>
      </w:pPr>
      <w:r>
        <w:t xml:space="preserve">Desarrollar una plataforma web para la gestión de trámites municipales con enfoque en seguridad y protección de datos personales, que digitalice el ciclo completo del trámite y garantice la trazabilidad y la confidencialidad de la información, tomando como caso de referencia la Municipalidad Distrital de San Juan Bautista, 2026.</w:t>
      </w:r>
    </w:p>
    <w:p>
      <w:pPr>
        <w:pStyle w:val="Heading4"/>
        <w:spacing w:after="120" w:before="200" w:line="360"/>
      </w:pPr>
      <w:r>
        <w:t xml:space="preserve">1.3.2 Objetivos específicos</w:t>
      </w:r>
    </w:p>
    <w:p>
      <w:pPr>
        <w:pStyle w:val="ListParagraph"/>
        <w:numPr>
          <w:ilvl w:val="0"/>
          <w:numId w:val="2"/>
        </w:numPr>
        <w:spacing w:after="40" w:line="360"/>
      </w:pPr>
      <w:r>
        <w:rPr>
          <w:b/>
          <w:bCs/>
        </w:rPr>
        <w:t xml:space="preserve">OE1.</w:t>
      </w:r>
      <w:r>
        <w:t xml:space="preserve"> Determinar los resultados de la fase de análisis, mediante la identificación de los requisitos funcionales y no funcionales y la definición de los actores del sistema.</w:t>
      </w:r>
    </w:p>
    <w:p>
      <w:pPr>
        <w:pStyle w:val="ListParagraph"/>
        <w:numPr>
          <w:ilvl w:val="0"/>
          <w:numId w:val="2"/>
        </w:numPr>
        <w:spacing w:after="40" w:line="360"/>
      </w:pPr>
      <w:r>
        <w:rPr>
          <w:b/>
          <w:bCs/>
        </w:rPr>
        <w:t xml:space="preserve">OE2.</w:t>
      </w:r>
      <w:r>
        <w:t xml:space="preserve"> Determinar los resultados de la fase de diseño, elaborando la arquitectura de software, el modelo de datos y los controles de seguridad de la plataforma.</w:t>
      </w:r>
    </w:p>
    <w:p>
      <w:pPr>
        <w:pStyle w:val="ListParagraph"/>
        <w:numPr>
          <w:ilvl w:val="0"/>
          <w:numId w:val="2"/>
        </w:numPr>
        <w:spacing w:after="40" w:line="360"/>
      </w:pPr>
      <w:r>
        <w:rPr>
          <w:b/>
          <w:bCs/>
        </w:rPr>
        <w:t xml:space="preserve">OE3.</w:t>
      </w:r>
      <w:r>
        <w:t xml:space="preserve"> Determinar los resultados de la fase de implementación de los módulos del sistema.</w:t>
      </w:r>
    </w:p>
    <w:p>
      <w:pPr>
        <w:pStyle w:val="ListParagraph"/>
        <w:numPr>
          <w:ilvl w:val="0"/>
          <w:numId w:val="2"/>
        </w:numPr>
        <w:spacing w:after="40" w:line="360"/>
      </w:pPr>
      <w:r>
        <w:rPr>
          <w:b/>
          <w:bCs/>
        </w:rPr>
        <w:t xml:space="preserve">OE4.</w:t>
      </w:r>
      <w:r>
        <w:t xml:space="preserve"> Validar el correcto funcionamiento de los módulos críticos de la plataforma.</w:t>
      </w:r>
    </w:p>
    <w:p>
      <w:pPr>
        <w:pStyle w:val="ListParagraph"/>
        <w:numPr>
          <w:ilvl w:val="0"/>
          <w:numId w:val="2"/>
        </w:numPr>
        <w:spacing w:after="40" w:line="360"/>
      </w:pPr>
      <w:r>
        <w:rPr>
          <w:b/>
          <w:bCs/>
        </w:rPr>
        <w:t xml:space="preserve">OE5.</w:t>
      </w:r>
      <w:r>
        <w:t xml:space="preserve"> Evaluar el cumplimiento de los controles de seguridad y protección de datos personales conforme a la Ley N.° 29733 y su reglamento.</w:t>
      </w:r>
    </w:p>
    <w:p>
      <w:pPr>
        <w:pStyle w:val="ListParagraph"/>
        <w:numPr>
          <w:ilvl w:val="0"/>
          <w:numId w:val="2"/>
        </w:numPr>
        <w:spacing w:after="40" w:line="360"/>
      </w:pPr>
      <w:r>
        <w:rPr>
          <w:b/>
          <w:bCs/>
        </w:rPr>
        <w:t xml:space="preserve">OE6.</w:t>
      </w:r>
      <w:r>
        <w:t xml:space="preserve"> Evaluar la usabilidad de la plataforma mediante la participación de usuarios piloto.</w:t>
      </w:r>
    </w:p>
    <w:p>
      <w:pPr>
        <w:pStyle w:val="Heading3"/>
        <w:spacing w:after="120" w:before="200" w:line="360"/>
      </w:pPr>
      <w:r>
        <w:t xml:space="preserve">1.4 Hipótesis</w:t>
      </w:r>
    </w:p>
    <w:p>
      <w:pPr>
        <w:spacing w:after="0" w:line="360"/>
        <w:ind w:firstLine="720"/>
        <w:jc w:val="left"/>
      </w:pPr>
      <w:r>
        <w:t xml:space="preserve">En el ámbito de la investigación científica, la formulación de hipótesis no constituye un requisito universal, sino que obedece al propósito y alcance del estudio. De acuerdo con Hernández-Sampieri et al. (2014), las hipótesis son inherentes a las investigaciones cuantitativas de alcance </w:t>
      </w:r>
      <w:r>
        <w:rPr>
          <w:b/>
          <w:bCs/>
        </w:rPr>
        <w:t xml:space="preserve">correlacional</w:t>
      </w:r>
      <w:r>
        <w:t xml:space="preserve"> o </w:t>
      </w:r>
      <w:r>
        <w:rPr>
          <w:b/>
          <w:bCs/>
        </w:rPr>
        <w:t xml:space="preserve">explicativo</w:t>
      </w:r>
      <w:r>
        <w:t xml:space="preserve">, en las que se busca establecer relaciones entre variables o relaciones de causa-efecto. En cambio, en los estudios de </w:t>
      </w:r>
      <w:r>
        <w:rPr>
          <w:b/>
          <w:bCs/>
        </w:rPr>
        <w:t xml:space="preserve">alcance descriptivo</w:t>
      </w:r>
      <w:r>
        <w:t xml:space="preserve">, la formulación de una hipótesis solo es pertinente cuando se pretende pronosticar un dato o hecho específico.</w:t>
      </w:r>
    </w:p>
    <w:p>
      <w:pPr>
        <w:spacing w:after="0" w:line="360"/>
        <w:ind w:firstLine="720"/>
        <w:jc w:val="left"/>
      </w:pPr>
      <w:r>
        <w:t xml:space="preserve">Dado que el presente proyecto es de </w:t>
      </w:r>
      <w:r>
        <w:rPr>
          <w:b/>
          <w:bCs/>
        </w:rPr>
        <w:t xml:space="preserve">nivel descriptivo</w:t>
      </w:r>
      <w:r>
        <w:t xml:space="preserve"> —orientado a describir y caracterizar los resultados del proceso de desarrollo, así como el funcionamiento, la seguridad y la usabilidad de la plataforma— </w:t>
      </w:r>
      <w:r>
        <w:rPr>
          <w:b/>
          <w:bCs/>
        </w:rPr>
        <w:t xml:space="preserve">no se formula una hipótesis contrastable</w:t>
      </w:r>
      <w:r>
        <w:t xml:space="preserve">. No obstante, y a fin de orientar la investigación, se asume el </w:t>
      </w:r>
      <w:r>
        <w:rPr>
          <w:b/>
          <w:bCs/>
        </w:rPr>
        <w:t xml:space="preserve">supuesto de trabajo</w:t>
      </w:r>
      <w:r>
        <w:t xml:space="preserve"> de que la plataforma cumplirá satisfactoriamente la operatividad de sus módulos críticos y los controles de seguridad establecidos, y alcanzará un nivel de usabilidad aceptable en la evaluación con la muestra piloto.</w:t>
      </w:r>
    </w:p>
    <w:p>
      <w:pPr>
        <w:pStyle w:val="Heading3"/>
        <w:spacing w:after="120" w:before="200" w:line="360"/>
      </w:pPr>
      <w:r>
        <w:t xml:space="preserve">1.5 Justificación de la investigación</w:t>
      </w:r>
    </w:p>
    <w:p>
      <w:pPr>
        <w:spacing w:after="0" w:line="360"/>
        <w:ind w:firstLine="720"/>
        <w:jc w:val="left"/>
      </w:pPr>
      <w:r>
        <w:t xml:space="preserve">La justificación del proyecto se aborda desde cinco perspectivas complementarias.</w:t>
      </w:r>
    </w:p>
    <w:p>
      <w:pPr>
        <w:pStyle w:val="Heading4"/>
        <w:spacing w:after="120" w:before="200" w:line="360"/>
      </w:pPr>
      <w:r>
        <w:t xml:space="preserve">1.5.1 Justificación práctica</w:t>
      </w:r>
    </w:p>
    <w:p>
      <w:pPr>
        <w:spacing w:after="0" w:line="360"/>
        <w:ind w:firstLine="720"/>
        <w:jc w:val="left"/>
      </w:pPr>
      <w:r>
        <w:t xml:space="preserve">El proyecto provee una herramienta concreta que reduce la fricción, las colas y la opacidad del trámite presencial. Al permitir iniciar, pagar y dar seguimiento a los trámites de forma remota, ordenada y transparente, la plataforma mejora directamente la experiencia del ciudadano y la eficiencia operativa de la municipalidad, liberando recursos humanos hoy dedicados a tareas manuales repetitivas.</w:t>
      </w:r>
    </w:p>
    <w:p>
      <w:pPr>
        <w:pStyle w:val="Heading4"/>
        <w:spacing w:after="120" w:before="200" w:line="360"/>
      </w:pPr>
      <w:r>
        <w:t xml:space="preserve">1.5.2 Justificación social</w:t>
      </w:r>
    </w:p>
    <w:p>
      <w:pPr>
        <w:spacing w:after="0" w:line="360"/>
        <w:ind w:firstLine="720"/>
        <w:jc w:val="left"/>
      </w:pPr>
      <w:r>
        <w:t xml:space="preserve">La solución fomenta la </w:t>
      </w:r>
      <w:r>
        <w:rPr>
          <w:b/>
          <w:bCs/>
        </w:rPr>
        <w:t xml:space="preserve">transparencia</w:t>
      </w:r>
      <w:r>
        <w:t xml:space="preserve"> y la </w:t>
      </w:r>
      <w:r>
        <w:rPr>
          <w:b/>
          <w:bCs/>
        </w:rPr>
        <w:t xml:space="preserve">equidad</w:t>
      </w:r>
      <w:r>
        <w:t xml:space="preserve"> en el acceso a los servicios públicos. Al reemplazar la discrecionalidad de la ventanilla por procesos reglados y auditables, se reducen los espacios para la corrupción y se garantiza que todos los ciudadanos reciban el mismo trato. Asimismo, la protección de los datos personales conforme a la ley refuerza la confianza de la población en su municipalidad.</w:t>
      </w:r>
    </w:p>
    <w:p>
      <w:pPr>
        <w:pStyle w:val="Heading4"/>
        <w:spacing w:after="120" w:before="200" w:line="360"/>
      </w:pPr>
      <w:r>
        <w:t xml:space="preserve">1.5.3 Justificación tecnológica</w:t>
      </w:r>
    </w:p>
    <w:p>
      <w:pPr>
        <w:spacing w:after="0" w:line="360"/>
        <w:ind w:firstLine="720"/>
        <w:jc w:val="left"/>
      </w:pPr>
      <w:r>
        <w:t xml:space="preserve">El proyecto demuestra la viabilidad de construir software público de calidad aplicando </w:t>
      </w:r>
      <w:r>
        <w:rPr>
          <w:b/>
          <w:bCs/>
        </w:rPr>
        <w:t xml:space="preserve">Spec-Driven Development (SDD)</w:t>
      </w:r>
      <w:r>
        <w:t xml:space="preserve"> como marco metodológico principal, complementado con Scrum y Extreme Programming, sobre una arquitectura moderna (</w:t>
      </w:r>
      <w:r>
        <w:rPr>
          <w:b/>
          <w:bCs/>
        </w:rPr>
        <w:t xml:space="preserve">Clean Architecture</w:t>
      </w:r>
      <w:r>
        <w:t xml:space="preserve"> y </w:t>
      </w:r>
      <w:r>
        <w:rPr>
          <w:b/>
          <w:bCs/>
        </w:rPr>
        <w:t xml:space="preserve">Domain-Driven Design</w:t>
      </w:r>
      <w:r>
        <w:t xml:space="preserve"> en .NET 10). Constituye, por tanto, un caso de referencia replicable para otras entidades públicas que enfrenten problemáticas similares.</w:t>
      </w:r>
    </w:p>
    <w:p>
      <w:pPr>
        <w:pStyle w:val="Heading4"/>
        <w:spacing w:after="120" w:before="200" w:line="360"/>
      </w:pPr>
      <w:r>
        <w:t xml:space="preserve">1.5.4 Justificación económica</w:t>
      </w:r>
    </w:p>
    <w:p>
      <w:pPr>
        <w:spacing w:after="0" w:line="360"/>
        <w:ind w:firstLine="720"/>
        <w:jc w:val="left"/>
      </w:pPr>
      <w:r>
        <w:t xml:space="preserve">La digitalización de los trámites reduce costos operativos para la municipalidad (impresión, almacenamiento físico, horas-hombre) y para el ciudadano (transporte, tiempo). A escala, una plataforma de este tipo permite atender un mayor volumen de trámites sin incrementar proporcionalmente los recursos, generando eficiencia en el uso de los fondos públicos.</w:t>
      </w:r>
    </w:p>
    <w:p>
      <w:pPr>
        <w:pStyle w:val="Heading4"/>
        <w:spacing w:after="120" w:before="200" w:line="360"/>
      </w:pPr>
      <w:r>
        <w:t xml:space="preserve">1.5.5 Justificación legal</w:t>
      </w:r>
    </w:p>
    <w:p>
      <w:pPr>
        <w:spacing w:after="0" w:line="360"/>
        <w:ind w:firstLine="720"/>
        <w:jc w:val="left"/>
      </w:pPr>
      <w:r>
        <w:t xml:space="preserve">El proyecto responde a un doble mandato legal: por un lado, la </w:t>
      </w:r>
      <w:r>
        <w:rPr>
          <w:b/>
          <w:bCs/>
        </w:rPr>
        <w:t xml:space="preserve">Ley de Gobierno Digital</w:t>
      </w:r>
      <w:r>
        <w:t xml:space="preserve"> (D.L. N.° 1412) que obliga a las entidades a transformar digitalmente sus servicios; y por otro, la </w:t>
      </w:r>
      <w:r>
        <w:rPr>
          <w:b/>
          <w:bCs/>
        </w:rPr>
        <w:t xml:space="preserve">Ley N.° 29733</w:t>
      </w:r>
      <w:r>
        <w:t xml:space="preserve"> y su reglamento de 2024, que exigen medidas técnicas de protección de datos personales. La plataforma incorpora ambos mandatos desde su concepción, sirviendo como modelo de cumplimiento normativo.</w:t>
      </w:r>
    </w:p>
    <w:p>
      <w:pPr>
        <w:pStyle w:val="Heading3"/>
        <w:spacing w:after="120" w:before="200" w:line="360"/>
      </w:pPr>
      <w:r>
        <w:t xml:space="preserve">1.6 Delimitación de la investigación</w:t>
      </w:r>
    </w:p>
    <w:p>
      <w:pPr>
        <w:pStyle w:val="Heading4"/>
        <w:spacing w:after="120" w:before="200" w:line="360"/>
      </w:pPr>
      <w:r>
        <w:t xml:space="preserve">1.6.1 Delimitación espacial</w:t>
      </w:r>
    </w:p>
    <w:p>
      <w:pPr>
        <w:spacing w:after="0" w:line="360"/>
        <w:ind w:firstLine="720"/>
        <w:jc w:val="left"/>
      </w:pPr>
      <w:r>
        <w:t xml:space="preserve">El proyecto toma como caso de referencia la </w:t>
      </w:r>
      <w:r>
        <w:rPr>
          <w:b/>
          <w:bCs/>
        </w:rPr>
        <w:t xml:space="preserve">Municipalidad Distrital de San Juan Bautista</w:t>
      </w:r>
      <w:r>
        <w:t xml:space="preserve">, provincia de Huamanga, región de Ayacucho. No obstante, su planteamiento y diseño son de carácter </w:t>
      </w:r>
      <w:r>
        <w:rPr>
          <w:b/>
          <w:bCs/>
        </w:rPr>
        <w:t xml:space="preserve">general</w:t>
      </w:r>
      <w:r>
        <w:t xml:space="preserve">, de modo que la solución resulte aplicable a cualquier municipalidad distrital o provincial con una problemática análoga.</w:t>
      </w:r>
    </w:p>
    <w:p>
      <w:pPr>
        <w:pStyle w:val="Heading4"/>
        <w:spacing w:after="120" w:before="200" w:line="360"/>
      </w:pPr>
      <w:r>
        <w:t xml:space="preserve">1.6.2 Delimitación temporal</w:t>
      </w:r>
    </w:p>
    <w:p>
      <w:pPr>
        <w:spacing w:after="0" w:line="360"/>
        <w:ind w:firstLine="720"/>
        <w:jc w:val="left"/>
      </w:pPr>
      <w:r>
        <w:t xml:space="preserve">La investigación se desarrolla durante el año </w:t>
      </w:r>
      <w:r>
        <w:rPr>
          <w:b/>
          <w:bCs/>
        </w:rPr>
        <w:t xml:space="preserve">2026</w:t>
      </w:r>
      <w:r>
        <w:t xml:space="preserve">, abarcando las fases de análisis, diseño e implementación del Producto Mínimo Viable (MVP), así como el diseño de la evaluación de funcionamiento, seguridad y usabilidad.</w:t>
      </w:r>
    </w:p>
    <w:p>
      <w:pPr>
        <w:pStyle w:val="Heading4"/>
        <w:spacing w:after="120" w:before="200" w:line="360"/>
      </w:pPr>
      <w:r>
        <w:t xml:space="preserve">1.6.3 Delimitación conceptual</w:t>
      </w:r>
    </w:p>
    <w:p>
      <w:pPr>
        <w:spacing w:after="0" w:line="360"/>
        <w:ind w:firstLine="720"/>
        <w:jc w:val="left"/>
      </w:pPr>
      <w:r>
        <w:t xml:space="preserve">El proyecto se circunscribe a los módulos de gestión de identidad y acceso, configuración de trámites (TUPA), ciclo de vida del trámite, pagos, seguimiento y notificaciones, protección de datos (derechos ARCO) y auditoría. Se sustenta conceptualmente en el gobierno digital, la ingeniería de software (SDD, Clean Architecture, DDD), la seguridad de la información y la protección de datos personales.</w:t>
      </w:r>
    </w:p>
    <w:p>
      <w:pPr>
        <w:pStyle w:val="Heading3"/>
        <w:spacing w:after="120" w:before="200" w:line="360"/>
      </w:pPr>
      <w:r>
        <w:t xml:space="preserve">1.7 Limitaciones</w:t>
      </w:r>
    </w:p>
    <w:p>
      <w:pPr>
        <w:pStyle w:val="ListParagraph"/>
        <w:numPr>
          <w:ilvl w:val="0"/>
          <w:numId w:val="2"/>
        </w:numPr>
        <w:spacing w:after="40" w:line="360"/>
      </w:pPr>
      <w:r>
        <w:t xml:space="preserve">La integración con </w:t>
      </w:r>
      <w:r>
        <w:rPr>
          <w:b/>
          <w:bCs/>
        </w:rPr>
        <w:t xml:space="preserve">pasarelas de pago reales</w:t>
      </w:r>
      <w:r>
        <w:t xml:space="preserve"> y con sistemas externos del Estado, como el Registro Nacional de Identificación y Estado Civil (RENIEC) para la validación de identidad y la Superintendencia Nacional de Aduanas y de Administración Tributaria (SUNAT), se contempla únicamente en </w:t>
      </w:r>
      <w:r>
        <w:rPr>
          <w:b/>
          <w:bCs/>
        </w:rPr>
        <w:t xml:space="preserve">modo de prueba</w:t>
      </w:r>
      <w:r>
        <w:t xml:space="preserve">; su despliegue productivo queda como línea de trabajo futura.</w:t>
      </w:r>
    </w:p>
    <w:p>
      <w:pPr>
        <w:pStyle w:val="ListParagraph"/>
        <w:numPr>
          <w:ilvl w:val="0"/>
          <w:numId w:val="2"/>
        </w:numPr>
        <w:spacing w:after="40" w:line="360"/>
      </w:pPr>
      <w:r>
        <w:t xml:space="preserve">La </w:t>
      </w:r>
      <w:r>
        <w:rPr>
          <w:b/>
          <w:bCs/>
        </w:rPr>
        <w:t xml:space="preserve">firma digital certificada</w:t>
      </w:r>
      <w:r>
        <w:t xml:space="preserve"> por una entidad de certificación acreditada excede el alcance del proyecto, por su complejidad legal y de acreditación.</w:t>
      </w:r>
    </w:p>
    <w:p>
      <w:pPr>
        <w:pStyle w:val="ListParagraph"/>
        <w:numPr>
          <w:ilvl w:val="0"/>
          <w:numId w:val="2"/>
        </w:numPr>
        <w:spacing w:after="40" w:line="360"/>
      </w:pPr>
      <w:r>
        <w:t xml:space="preserve">La </w:t>
      </w:r>
      <w:r>
        <w:rPr>
          <w:b/>
          <w:bCs/>
        </w:rPr>
        <w:t xml:space="preserve">muestra</w:t>
      </w:r>
      <w:r>
        <w:t xml:space="preserve"> para la evaluación de usabilidad es no probabilística y de tamaño piloto, por lo que sus resultados son indicativos para esta fase inicial y no generalizables estadísticamente al universo de usuarios.</w:t>
      </w:r>
    </w:p>
    <w:p>
      <w:pPr>
        <w:pStyle w:val="Heading3"/>
        <w:spacing w:after="120" w:before="200" w:line="360"/>
      </w:pPr>
      <w:r>
        <w:t xml:space="preserve">1.8 Viabilidad del proyecto</w:t>
      </w:r>
    </w:p>
    <w:p>
      <w:pPr>
        <w:pStyle w:val="Heading4"/>
        <w:spacing w:after="120" w:before="200" w:line="360"/>
      </w:pPr>
      <w:r>
        <w:t xml:space="preserve">1.8.1 Viabilidad técnica</w:t>
      </w:r>
    </w:p>
    <w:p>
      <w:pPr>
        <w:spacing w:after="0" w:line="360"/>
        <w:ind w:firstLine="720"/>
        <w:jc w:val="left"/>
      </w:pPr>
      <w:r>
        <w:t xml:space="preserve">El proyecto es técnicamente viable. Las tecnologías seleccionadas (.NET 10, C# 14, SQL Server 2022, Entity Framework Core 10) son maduras, cuentan con amplia documentación y soporte, y son adecuadas para los requisitos de seguridad y rendimiento planteados. El conocimiento requerido está al alcance del investigador y las herramientas de desarrollo son de libre acceso.</w:t>
      </w:r>
    </w:p>
    <w:p>
      <w:pPr>
        <w:pStyle w:val="Heading4"/>
        <w:spacing w:after="120" w:before="200" w:line="360"/>
      </w:pPr>
      <w:r>
        <w:t xml:space="preserve">1.8.2 Viabilidad operativa</w:t>
      </w:r>
    </w:p>
    <w:p>
      <w:pPr>
        <w:spacing w:after="0" w:line="360"/>
        <w:ind w:firstLine="720"/>
        <w:jc w:val="left"/>
      </w:pPr>
      <w:r>
        <w:t xml:space="preserve">La solución responde a una necesidad real y sentida por la ciudadanía y por la administración municipal, lo que favorece su adopción. El diseño </w:t>
      </w:r>
      <w:r>
        <w:rPr>
          <w:i/>
          <w:iCs/>
        </w:rPr>
        <w:t xml:space="preserve">mobile-first</w:t>
      </w:r>
      <w:r>
        <w:t xml:space="preserve"> y centrado en la usabilidad reduce la barrera de entrada para los usuarios, atendiendo el reto de las habilidades digitales identificado en la literatura.</w:t>
      </w:r>
    </w:p>
    <w:p>
      <w:pPr>
        <w:pStyle w:val="Heading4"/>
        <w:spacing w:after="120" w:before="200" w:line="360"/>
      </w:pPr>
      <w:r>
        <w:t xml:space="preserve">1.8.3 Viabilidad económica</w:t>
      </w:r>
    </w:p>
    <w:p>
      <w:pPr>
        <w:spacing w:after="0" w:line="360"/>
        <w:ind w:firstLine="720"/>
        <w:jc w:val="left"/>
      </w:pPr>
      <w:r>
        <w:t xml:space="preserve">El proyecto emplea herramientas y frameworks de </w:t>
      </w:r>
      <w:r>
        <w:rPr>
          <w:b/>
          <w:bCs/>
        </w:rPr>
        <w:t xml:space="preserve">código abierto o de licencia gratuita</w:t>
      </w:r>
      <w:r>
        <w:t xml:space="preserve"> para desarrollo, lo que minimiza los costos de construcción. Los costos de despliegue en producción (infraestructura de servidores y base de datos) son asumibles y se compensan con el ahorro operativo que genera la digitalización.</w:t>
      </w:r>
    </w:p>
    <w:p>
      <w:pPr>
        <w:pStyle w:val="Heading4"/>
        <w:spacing w:after="120" w:before="200" w:line="360"/>
      </w:pPr>
      <w:r>
        <w:t xml:space="preserve">1.8.4 Viabilidad legal</w:t>
      </w:r>
    </w:p>
    <w:p>
      <w:pPr>
        <w:spacing w:after="0" w:line="360"/>
        <w:ind w:firstLine="720"/>
        <w:jc w:val="left"/>
      </w:pPr>
      <w:r>
        <w:t xml:space="preserve">El proyecto se enmarca plenamente en la legislación vigente: cumple la Ley de Gobierno Digital y, de manera destacada, incorpora los controles exigidos por la Ley N.° 29733 y su reglamento, lo que no solo lo hace legalmente viable sino que constituye uno de sus principales aportes.</w:t>
      </w:r>
    </w:p>
    <w:p>
      <w:pPr>
        <w:pageBreakBefore/>
      </w:pPr>
    </w:p>
    <w:p>
      <w:pPr>
        <w:pStyle w:val="Heading1"/>
        <w:spacing w:after="120" w:before="200" w:line="360"/>
      </w:pPr>
      <w:r>
        <w:t xml:space="preserve">Capítulo II</w:t>
      </w:r>
    </w:p>
    <w:p>
      <w:pPr>
        <w:pStyle w:val="Heading2"/>
        <w:spacing w:after="120" w:before="200" w:line="360"/>
      </w:pPr>
      <w:r>
        <w:t xml:space="preserve">Marco Teórico</w:t>
      </w:r>
    </w:p>
    <w:p>
      <w:pPr>
        <w:pStyle w:val="Heading3"/>
        <w:spacing w:after="120" w:before="200" w:line="360"/>
      </w:pPr>
      <w:r>
        <w:t xml:space="preserve">2.1 Antecedentes de la investigación</w:t>
      </w:r>
    </w:p>
    <w:p>
      <w:pPr>
        <w:pBdr>
          <w:left w:val="single" w:color="9CC3E0" w:sz="12" w:space="8"/>
        </w:pBdr>
        <w:spacing w:after="120" w:line="360"/>
        <w:ind w:left="720"/>
        <w:jc w:val="left"/>
      </w:pPr>
      <w:r>
        <w:rPr>
          <w:b/>
          <w:bCs/>
          <w:i/>
          <w:iCs/>
        </w:rPr>
        <w:t xml:space="preserve">Nota para el autor:</w:t>
      </w:r>
      <w:r>
        <w:rPr>
          <w:i/>
          <w:iCs/>
        </w:rPr>
        <w:t xml:space="preserve"> los antecedentes se describen a partir de estudios reales localizados en repositorios académicos (Alicia–Concytec, RENATI–Sunedu y repositorios institucionales). Antes de la entrega final, completa el </w:t>
      </w:r>
      <w:r>
        <w:rPr>
          <w:b/>
          <w:bCs/>
          <w:i/>
          <w:iCs/>
        </w:rPr>
        <w:t xml:space="preserve">apellido del autor y el año exacto</w:t>
      </w:r>
      <w:r>
        <w:rPr>
          <w:i/>
          <w:iCs/>
        </w:rPr>
        <w:t xml:space="preserve"> en formato APA a partir del enlace indicado en cada caso (ver Referencias). Los datos de la publicación (título, institución, URL) ya están verificados.</w:t>
      </w:r>
    </w:p>
    <w:p>
      <w:pPr>
        <w:spacing w:after="0" w:line="360"/>
        <w:ind w:firstLine="720"/>
        <w:jc w:val="left"/>
      </w:pPr>
      <w:r>
        <w:t xml:space="preserve">Los antecedentes constituyen el conjunto de investigaciones previas que abordan problemáticas o soluciones similares a la del presente proyecto. Su revisión permite conocer el estado del arte, identificar metodologías empleadas y delimitar el aporte diferencial de este trabajo. Se organizan en antecedentes nacionales e internacionales.</w:t>
      </w:r>
    </w:p>
    <w:p>
      <w:pPr>
        <w:pStyle w:val="Heading4"/>
        <w:spacing w:after="120" w:before="200" w:line="360"/>
      </w:pPr>
      <w:r>
        <w:t xml:space="preserve">2.1.1 Antecedentes nacionales</w:t>
      </w:r>
    </w:p>
    <w:p>
      <w:pPr>
        <w:spacing w:after="0" w:line="360"/>
        <w:ind w:firstLine="720"/>
        <w:jc w:val="left"/>
      </w:pPr>
      <w:r>
        <w:rPr>
          <w:b/>
          <w:bCs/>
        </w:rPr>
        <w:t xml:space="preserve">a) Sistema web de trámite documentario – UGEL Tambopata (2020).</w:t>
      </w:r>
      <w:r>
        <w:t xml:space="preserve"> El objetivo de esta investigación fue desarrollar un sistema web para la mejora de los servicios a los usuarios de la Unidad de Gestión Educativa Local de Tambopata. Metodológicamente, empleó el Proceso Unificado Racional (RUP), el patrón arquitectónico Modelo-Vista-Controlador (MVC), el lenguaje JavaScript y el framework Angular. La calidad del software se evaluó con la norma ISO 9126, obteniendo valores de satisfacción entre "regular" y "satisfactorio" (funcionalidad 3,20; fiabilidad 3,26; portabilidad 3,59; eficiencia 3,61; promedio 3,41). Este antecedente respalda la pertinencia de digitalizar la gestión documentaria pública y de evaluar la calidad del software con estándares internacionales; se diferencia del presente proyecto en que no aborda la seguridad ni la protección de datos personales de forma integral.</w:t>
      </w:r>
    </w:p>
    <w:p>
      <w:pPr>
        <w:spacing w:after="0" w:line="360"/>
        <w:ind w:firstLine="720"/>
        <w:jc w:val="left"/>
      </w:pPr>
      <w:r>
        <w:rPr>
          <w:b/>
          <w:bCs/>
        </w:rPr>
        <w:t xml:space="preserve">b) Sistema web basado en Scrum para autorizaciones e infracciones – Dirección Regional de Transportes y Comunicaciones de Ayacucho.</w:t>
      </w:r>
      <w:r>
        <w:t xml:space="preserve"> Este estudio, desarrollado en el ámbito regional de Ayacucho, tuvo como objetivo mejorar el proceso de autorizaciones e infracciones mediante un sistema web construido con la metodología ágil Scrum. Constituye un antecedente especialmente relevante por su cercanía geográfica y por evidenciar la aplicabilidad de las metodologías ágiles a los procesos administrativos del sector público en la misma región donde se contextualiza el presente proyecto.</w:t>
      </w:r>
    </w:p>
    <w:p>
      <w:pPr>
        <w:spacing w:after="0" w:line="360"/>
        <w:ind w:firstLine="720"/>
        <w:jc w:val="left"/>
      </w:pPr>
      <w:r>
        <w:rPr>
          <w:b/>
          <w:bCs/>
        </w:rPr>
        <w:t xml:space="preserve">c) Sistema informático de gestión de trámite documentario – Gobierno Regional de San Martín, Moyobamba (2022).</w:t>
      </w:r>
      <w:r>
        <w:t xml:space="preserve"> El estudio tuvo como objetivo reducir el tiempo de la gestión de trámites documentarios mediante un sistema web construido con la metodología ágil Scrum. Aporta evidencia cuantitativa sobre la eficacia de las metodologías ágiles para la mejora de tiempos en procesos administrativos del Estado, aspecto directamente relacionado con el objetivo de eficiencia del presente proyecto.</w:t>
      </w:r>
    </w:p>
    <w:p>
      <w:pPr>
        <w:spacing w:after="0" w:line="360"/>
        <w:ind w:firstLine="720"/>
        <w:jc w:val="left"/>
      </w:pPr>
      <w:r>
        <w:rPr>
          <w:b/>
          <w:bCs/>
        </w:rPr>
        <w:t xml:space="preserve">d) Sistema web para la emisión de licencias de funcionamiento – Municipalidad de Puente Piedra.</w:t>
      </w:r>
      <w:r>
        <w:t xml:space="preserve"> Esta investigación desarrolló un sistema web para la emisión de licencias de funcionamiento de negocios de riesgo bajo o medio. Es un antecedente de alta pertinencia porque la licencia de funcionamiento es precisamente uno de los trámites municipales típicos que la plataforma SITRAM digitaliza; confirma la viabilidad y la demanda de digitalizar este tipo de procedimientos en el ámbito municipal peruano.</w:t>
      </w:r>
    </w:p>
    <w:p>
      <w:pPr>
        <w:spacing w:after="0" w:line="360"/>
        <w:ind w:firstLine="720"/>
        <w:jc w:val="left"/>
      </w:pPr>
      <w:r>
        <w:rPr>
          <w:b/>
          <w:bCs/>
        </w:rPr>
        <w:t xml:space="preserve">e) Sistema web de gestión de trámite documentario – Municipalidad Distrital de Bellavista-Sullana (2016).</w:t>
      </w:r>
      <w:r>
        <w:t xml:space="preserve"> Se implementó un sistema web para optimizar los procesos del área de mesa de partes, dentro de la línea de investigación de aplicación de las TIC para la mejora continua de la calidad en las organizaciones del Perú. Confirma que el área de mesa de partes es un punto crítico de digitalización en las municipalidades, coincidente con el diseño de SITRAM.</w:t>
      </w:r>
    </w:p>
    <w:p>
      <w:pPr>
        <w:spacing w:after="0" w:line="360"/>
        <w:ind w:firstLine="720"/>
        <w:jc w:val="left"/>
      </w:pPr>
      <w:r>
        <w:rPr>
          <w:b/>
          <w:bCs/>
        </w:rPr>
        <w:t xml:space="preserve">f) Modelo de ciberseguridad para prevenir ciberataques en aplicaciones web (Perú).</w:t>
      </w:r>
      <w:r>
        <w:t xml:space="preserve"> Diversos trabajos nacionales han abordado modelos de madurez en ciberseguridad basados en estándares como ISO/IEC 27032 y el marco del NIST para proteger aplicaciones web y activos de información. Estos estudios fundamentan la necesidad de incorporar la seguridad de la información como un eje transversal del desarrollo —enfoque que el presente proyecto adopta desde el diseño—, y evidencian que la seguridad suele tratarse de forma aislada y no integrada al ciclo de desarrollo, brecha que SITRAM busca cubrir.</w:t>
      </w:r>
    </w:p>
    <w:p>
      <w:pPr>
        <w:pStyle w:val="Heading4"/>
        <w:spacing w:after="120" w:before="200" w:line="360"/>
      </w:pPr>
      <w:r>
        <w:t xml:space="preserve">2.1.2 Antecedentes internacionales</w:t>
      </w:r>
    </w:p>
    <w:p>
      <w:pPr>
        <w:spacing w:after="0" w:line="360"/>
        <w:ind w:firstLine="720"/>
        <w:jc w:val="left"/>
      </w:pPr>
      <w:r>
        <w:rPr>
          <w:b/>
          <w:bCs/>
        </w:rPr>
        <w:t xml:space="preserve">a) "Por Mi Barrio", Montevideo, Uruguay (Aguerre et al., 2024).</w:t>
      </w:r>
      <w:r>
        <w:t xml:space="preserve"> Estudio de gobernanza publicado en el </w:t>
      </w:r>
      <w:r>
        <w:rPr>
          <w:i/>
          <w:iCs/>
        </w:rPr>
        <w:t xml:space="preserve">Information Systems Journal</w:t>
      </w:r>
      <w:r>
        <w:t xml:space="preserve"> sobre una plataforma web y móvil de código abierto lanzada en 2014, que permite a los ciudadanos reportar y consultar el estado de reparación de problemas urbanos. Demuestra el valor de las plataformas cívicas de gobierno abierto para la trazabilidad y la participación ciudadana, principios que SITRAM incorpora al permitir el seguimiento del estado del trámite en tiempo real.</w:t>
      </w:r>
    </w:p>
    <w:p>
      <w:pPr>
        <w:spacing w:after="0" w:line="360"/>
        <w:ind w:firstLine="720"/>
        <w:jc w:val="left"/>
      </w:pPr>
      <w:r>
        <w:rPr>
          <w:b/>
          <w:bCs/>
        </w:rPr>
        <w:t xml:space="preserve">b) Confianza ciudadana en estrategias de e-government: municipio rural de Sudáfrica (2024).</w:t>
      </w:r>
      <w:r>
        <w:t xml:space="preserve"> Esta investigación analizó las perspectivas de los ciudadanos sobre los servicios electrónicos en un municipio rural, concluyendo que los niveles de confianza pública en el gobierno electrónico están estrechamente vinculados a la percepción de las medidas de privacidad y seguridad implementadas. Fundamenta la decisión de este proyecto de priorizar la seguridad y la protección de datos como factores determinantes de la adopción.</w:t>
      </w:r>
    </w:p>
    <w:p>
      <w:pPr>
        <w:spacing w:after="0" w:line="360"/>
        <w:ind w:firstLine="720"/>
        <w:jc w:val="left"/>
      </w:pPr>
      <w:r>
        <w:rPr>
          <w:b/>
          <w:bCs/>
        </w:rPr>
        <w:t xml:space="preserve">c) E-government y confianza pública en países en desarrollo: revisión sistemática (International Journal of Public Administration, 2025).</w:t>
      </w:r>
      <w:r>
        <w:t xml:space="preserve"> Síntesis de la literatura que confirma que el gobierno electrónico promueve la confianza mediante la mejora de la prestación de servicios, la transparencia y la participación, aunque su impacto depende de la fiabilidad institucional, la confianza tecnológica y las condiciones contextuales. Advierte que el bajo desempeño, la escasa alfabetización digital y los conflictos de valores minan la confianza sostenida.</w:t>
      </w:r>
    </w:p>
    <w:p>
      <w:pPr>
        <w:spacing w:after="0" w:line="360"/>
        <w:ind w:firstLine="720"/>
        <w:jc w:val="left"/>
      </w:pPr>
      <w:r>
        <w:rPr>
          <w:b/>
          <w:bCs/>
        </w:rPr>
        <w:t xml:space="preserve">d) Interoperabilidad confiable de sistemas de identidad digital en países en desarrollo (Springer, AI &amp; Society, 2024).</w:t>
      </w:r>
      <w:r>
        <w:t xml:space="preserve"> Aborda las consideraciones para una interoperabilidad transfronteriza confiable de los sistemas de identidad digital, destacando el papel de los Sistemas de Identidad Fundacional para la identificación y autenticación de los ciudadanos. Sustenta la importancia de un módulo de gestión de identidad robusto, componente central de SITRAM.</w:t>
      </w:r>
    </w:p>
    <w:p>
      <w:pPr>
        <w:spacing w:after="0" w:line="360"/>
        <w:ind w:firstLine="720"/>
        <w:jc w:val="left"/>
      </w:pPr>
      <w:r>
        <w:rPr>
          <w:b/>
          <w:bCs/>
        </w:rPr>
        <w:t xml:space="preserve">e) Evaluación de portales web de servicios al ciudadano en América Latina.</w:t>
      </w:r>
      <w:r>
        <w:t xml:space="preserve"> Revisión sistemática que analizó la calidad metodológica de la evaluación de usabilidad centrada en el usuario de aplicaciones digitales gubernamentales, a partir de estudios indexados en Web of Science, Scopus e IEEE Xplore. Fundamenta la importancia de evaluar la usabilidad de las plataformas públicas —variable considerada en este proyecto mediante la escala SUS.</w:t>
      </w:r>
    </w:p>
    <w:p>
      <w:pPr>
        <w:spacing w:after="0" w:line="360"/>
        <w:ind w:firstLine="720"/>
        <w:jc w:val="left"/>
      </w:pPr>
      <w:r>
        <w:rPr>
          <w:b/>
          <w:bCs/>
        </w:rPr>
        <w:t xml:space="preserve">f) Impacto del gobierno digital en la modernización del Estado (revisión sistemática).</w:t>
      </w:r>
      <w:r>
        <w:t xml:space="preserve"> Trabajo que sintetiza la relación entre gobierno digital, modernización del Estado y servicios al ciudadano en gobiernos locales de América Latina, confirmando que la digitalización mejora el acceso a la información pública y la eficiencia de los servicios.</w:t>
      </w:r>
    </w:p>
    <w:p>
      <w:pPr>
        <w:pStyle w:val="Heading3"/>
        <w:spacing w:after="120" w:before="200" w:line="360"/>
      </w:pPr>
      <w:r>
        <w:t xml:space="preserve">2.2 Bases teóricas</w:t>
      </w:r>
    </w:p>
    <w:p>
      <w:pPr>
        <w:pStyle w:val="Heading4"/>
        <w:spacing w:after="120" w:before="200" w:line="360"/>
      </w:pPr>
      <w:r>
        <w:t xml:space="preserve">2.2.1 Gobierno digital (e-government)</w:t>
      </w:r>
    </w:p>
    <w:p>
      <w:pPr>
        <w:spacing w:after="0" w:line="360"/>
        <w:ind w:firstLine="720"/>
        <w:jc w:val="left"/>
      </w:pPr>
      <w:r>
        <w:t xml:space="preserve">El gobierno digital, o gobierno electrónico, es el uso de las tecnologías de la información y la comunicación (TIC), en especial de internet, para mejorar la prestación de los servicios públicos, la transparencia, la eficiencia y la participación ciudadana. La Organización de las Naciones Unidas, a través de su Índice de Desarrollo de Gobierno Electrónico (EGDI), mide su avance considerando tres dimensiones: los servicios en línea, la infraestructura de telecomunicaciones y el capital humano.</w:t>
      </w:r>
    </w:p>
    <w:p>
      <w:pPr>
        <w:spacing w:after="0" w:line="360"/>
        <w:ind w:firstLine="720"/>
        <w:jc w:val="left"/>
      </w:pPr>
      <w:r>
        <w:t xml:space="preserve">La literatura distingue </w:t>
      </w:r>
      <w:r>
        <w:rPr>
          <w:b/>
          <w:bCs/>
        </w:rPr>
        <w:t xml:space="preserve">niveles o fases de madurez</w:t>
      </w:r>
      <w:r>
        <w:t xml:space="preserve"> del gobierno electrónico, que van desde la simple </w:t>
      </w:r>
      <w:r>
        <w:rPr>
          <w:b/>
          <w:bCs/>
        </w:rPr>
        <w:t xml:space="preserve">presencia</w:t>
      </w:r>
      <w:r>
        <w:t xml:space="preserve"> informativa (sitios web que publican información), pasando por la </w:t>
      </w:r>
      <w:r>
        <w:rPr>
          <w:b/>
          <w:bCs/>
        </w:rPr>
        <w:t xml:space="preserve">interacción</w:t>
      </w:r>
      <w:r>
        <w:t xml:space="preserve"> (formularios descargables, comunicación bidireccional) y la </w:t>
      </w:r>
      <w:r>
        <w:rPr>
          <w:b/>
          <w:bCs/>
        </w:rPr>
        <w:t xml:space="preserve">transacción</w:t>
      </w:r>
      <w:r>
        <w:t xml:space="preserve"> (realización completa de trámites en línea, incluido el pago), hasta la </w:t>
      </w:r>
      <w:r>
        <w:rPr>
          <w:b/>
          <w:bCs/>
        </w:rPr>
        <w:t xml:space="preserve">integración</w:t>
      </w:r>
      <w:r>
        <w:t xml:space="preserve"> o transformación (interoperabilidad total entre entidades). El presente proyecto se sitúa en el nivel </w:t>
      </w:r>
      <w:r>
        <w:rPr>
          <w:b/>
          <w:bCs/>
        </w:rPr>
        <w:t xml:space="preserve">transaccional</w:t>
      </w:r>
      <w:r>
        <w:t xml:space="preserve">, el más exigente y el que mayor valor aporta al ciudadano, ya que permite completar el ciclo del trámite sin presencialidad.</w:t>
      </w:r>
    </w:p>
    <w:p>
      <w:pPr>
        <w:spacing w:after="0" w:line="360"/>
        <w:ind w:firstLine="720"/>
        <w:jc w:val="left"/>
      </w:pPr>
      <w:r>
        <w:t xml:space="preserve">En el Perú, el gobierno digital se rige por el </w:t>
      </w:r>
      <w:r>
        <w:rPr>
          <w:b/>
          <w:bCs/>
        </w:rPr>
        <w:t xml:space="preserve">Decreto Legislativo N.° 1412, Ley de Gobierno Digital</w:t>
      </w:r>
      <w:r>
        <w:t xml:space="preserve">, que establece el marco de gobernanza, los principios de interoperabilidad y la obligación de las entidades públicas de transformar digitalmente sus servicios, bajo la rectoría de la Secretaría de Gobierno y Transformación Digital de la Presidencia del Consejo de Ministros.</w:t>
      </w:r>
    </w:p>
    <w:p>
      <w:pPr>
        <w:pStyle w:val="Heading4"/>
        <w:spacing w:after="120" w:before="200" w:line="360"/>
      </w:pPr>
      <w:r>
        <w:t xml:space="preserve">2.2.2 Trámite administrativo y TUPA</w:t>
      </w:r>
    </w:p>
    <w:p>
      <w:pPr>
        <w:spacing w:after="0" w:line="360"/>
        <w:ind w:firstLine="720"/>
        <w:jc w:val="left"/>
      </w:pPr>
      <w:r>
        <w:t xml:space="preserve">Un </w:t>
      </w:r>
      <w:r>
        <w:rPr>
          <w:b/>
          <w:bCs/>
        </w:rPr>
        <w:t xml:space="preserve">procedimiento administrativo</w:t>
      </w:r>
      <w:r>
        <w:t xml:space="preserve"> o </w:t>
      </w:r>
      <w:r>
        <w:rPr>
          <w:b/>
          <w:bCs/>
        </w:rPr>
        <w:t xml:space="preserve">trámite</w:t>
      </w:r>
      <w:r>
        <w:t xml:space="preserve"> es el conjunto de actos y diligencias que un administrado realiza ante una entidad pública para obtener un pronunciamiento o servicio (una licencia, un permiso, un certificado, una constancia). En el ámbito municipal, estos procedimientos están regulados por el </w:t>
      </w:r>
      <w:r>
        <w:rPr>
          <w:b/>
          <w:bCs/>
        </w:rPr>
        <w:t xml:space="preserve">Texto Único de Procedimientos Administrativos (TUPA)</w:t>
      </w:r>
      <w:r>
        <w:t xml:space="preserve">, documento oficial de gestión que compendia todos los procedimientos de iniciativa de parte, estableciendo para cada uno sus requisitos, plazos, calificación (automática o de evaluación previa) y el costo o </w:t>
      </w:r>
      <w:r>
        <w:rPr>
          <w:b/>
          <w:bCs/>
        </w:rPr>
        <w:t xml:space="preserve">tasa</w:t>
      </w:r>
      <w:r>
        <w:t xml:space="preserve"> correspondiente, expresado en función de la Unidad Impositiva Tributaria (UIT). El TUPA constituye la fuente normativa que la plataforma SITRAM digitaliza y parametriza en su módulo de configuración de tipos de trámite.</w:t>
      </w:r>
    </w:p>
    <w:p>
      <w:pPr>
        <w:pStyle w:val="Heading4"/>
        <w:spacing w:after="120" w:before="200" w:line="360"/>
      </w:pPr>
      <w:r>
        <w:t xml:space="preserve">2.2.3 Corrupción administrativa y transparencia</w:t>
      </w:r>
    </w:p>
    <w:p>
      <w:pPr>
        <w:spacing w:after="0" w:line="360"/>
        <w:ind w:firstLine="720"/>
        <w:jc w:val="left"/>
      </w:pPr>
      <w:r>
        <w:t xml:space="preserve">La corrupción administrativa se entiende como el abuso del poder público para beneficio privado. En el nivel de la atención al ciudadano, adopta la forma de la denominada </w:t>
      </w:r>
      <w:r>
        <w:rPr>
          <w:i/>
          <w:iCs/>
        </w:rPr>
        <w:t xml:space="preserve">petty corruption</w:t>
      </w:r>
      <w:r>
        <w:t xml:space="preserve"> o pequeña corrupción: pagos indebidos para agilizar trámites, tratos preferenciales y discrecionalidad en la aplicación de las normas. La </w:t>
      </w:r>
      <w:r>
        <w:rPr>
          <w:b/>
          <w:bCs/>
        </w:rPr>
        <w:t xml:space="preserve">transparencia</w:t>
      </w:r>
      <w:r>
        <w:t xml:space="preserve"> —entendida como la apertura y disponibilidad de la información sobre los actos públicos— y la </w:t>
      </w:r>
      <w:r>
        <w:rPr>
          <w:b/>
          <w:bCs/>
        </w:rPr>
        <w:t xml:space="preserve">trazabilidad</w:t>
      </w:r>
      <w:r>
        <w:t xml:space="preserve"> —el registro completo y verificable de cada actuación— son los mecanismos fundamentales para combatirla. La digitalización de los trámites, al eliminar el contacto discrecional y generar un rastro auditable, es una herramienta reconocida de lucha contra la corrupción.</w:t>
      </w:r>
    </w:p>
    <w:p>
      <w:pPr>
        <w:pStyle w:val="Heading4"/>
        <w:spacing w:after="120" w:before="200" w:line="360"/>
      </w:pPr>
      <w:r>
        <w:t xml:space="preserve">2.2.4 Aplicación web</w:t>
      </w:r>
    </w:p>
    <w:p>
      <w:pPr>
        <w:spacing w:after="0" w:line="360"/>
        <w:ind w:firstLine="720"/>
        <w:jc w:val="left"/>
      </w:pPr>
      <w:r>
        <w:t xml:space="preserve">Una </w:t>
      </w:r>
      <w:r>
        <w:rPr>
          <w:b/>
          <w:bCs/>
        </w:rPr>
        <w:t xml:space="preserve">aplicación web</w:t>
      </w:r>
      <w:r>
        <w:t xml:space="preserve"> es un software basado en la arquitectura </w:t>
      </w:r>
      <w:r>
        <w:rPr>
          <w:b/>
          <w:bCs/>
        </w:rPr>
        <w:t xml:space="preserve">cliente-servidor</w:t>
      </w:r>
      <w:r>
        <w:t xml:space="preserve">, cuyo cliente se ejecuta en un navegador y se comunica con el servidor mediante el protocolo </w:t>
      </w:r>
      <w:r>
        <w:rPr>
          <w:b/>
          <w:bCs/>
        </w:rPr>
        <w:t xml:space="preserve">HTTP/ HTTPS</w:t>
      </w:r>
      <w:r>
        <w:t xml:space="preserve">. Las arquitecturas modernas desacoplan el </w:t>
      </w:r>
      <w:r>
        <w:rPr>
          <w:b/>
          <w:bCs/>
        </w:rPr>
        <w:t xml:space="preserve">frontend</w:t>
      </w:r>
      <w:r>
        <w:t xml:space="preserve"> (capa de presentación que se ejecuta en el navegador) del </w:t>
      </w:r>
      <w:r>
        <w:rPr>
          <w:b/>
          <w:bCs/>
        </w:rPr>
        <w:t xml:space="preserve">backend</w:t>
      </w:r>
      <w:r>
        <w:t xml:space="preserve"> (capa de lógica de negocio y acceso a datos que se ejecuta en el servidor), comunicándose a través de una </w:t>
      </w:r>
      <w:r>
        <w:rPr>
          <w:b/>
          <w:bCs/>
        </w:rPr>
        <w:t xml:space="preserve">API REST</w:t>
      </w:r>
      <w:r>
        <w:t xml:space="preserve"> (</w:t>
      </w:r>
      <w:r>
        <w:rPr>
          <w:i/>
          <w:iCs/>
        </w:rPr>
        <w:t xml:space="preserve">Representational State Transfer</w:t>
      </w:r>
      <w:r>
        <w:t xml:space="preserve">), un estilo de arquitectura que utiliza los métodos HTTP (GET, POST, PUT, DELETE) para operar sobre recursos identificados por URLs. Este desacoplamiento favorece la escalabilidad, el mantenimiento y la posibilidad de servir a múltiples clientes (web, móvil) desde un mismo backend. Las aplicaciones que cargan una única página y actualizan su contenido dinámicamente se denominan </w:t>
      </w:r>
      <w:r>
        <w:rPr>
          <w:b/>
          <w:bCs/>
        </w:rPr>
        <w:t xml:space="preserve">SPA</w:t>
      </w:r>
      <w:r>
        <w:t xml:space="preserve"> (</w:t>
      </w:r>
      <w:r>
        <w:rPr>
          <w:i/>
          <w:iCs/>
        </w:rPr>
        <w:t xml:space="preserve">Single Page Application</w:t>
      </w:r>
      <w:r>
        <w:t xml:space="preserve">).</w:t>
      </w:r>
    </w:p>
    <w:p>
      <w:pPr>
        <w:pStyle w:val="Heading4"/>
        <w:spacing w:after="120" w:before="200" w:line="360"/>
      </w:pPr>
      <w:r>
        <w:t xml:space="preserve">2.2.5 Ingeniería de software y metodologías de desarrollo</w:t>
      </w:r>
    </w:p>
    <w:p>
      <w:pPr>
        <w:spacing w:after="0" w:line="360"/>
        <w:ind w:firstLine="720"/>
        <w:jc w:val="left"/>
      </w:pPr>
      <w:r>
        <w:t xml:space="preserve">La ingeniería de software es la aplicación de un enfoque sistemático, disciplinado y cuantificable al desarrollo, operación y mantenimiento del software. El presente proyecto integra tres metodologías complementarias.</w:t>
      </w:r>
    </w:p>
    <w:p>
      <w:pPr>
        <w:spacing w:after="0" w:line="360"/>
        <w:ind w:firstLine="720"/>
        <w:jc w:val="left"/>
      </w:pPr>
      <w:r>
        <w:t xml:space="preserve">##### 2.2.5.1 Spec-Driven Development (SDD)</w:t>
      </w:r>
    </w:p>
    <w:p>
      <w:pPr>
        <w:spacing w:after="0" w:line="360"/>
        <w:ind w:firstLine="720"/>
        <w:jc w:val="left"/>
      </w:pPr>
      <w:r>
        <w:t xml:space="preserve">El Desarrollo Guiado por Especificaciones (SDD) es una metodología en la que la </w:t>
      </w:r>
      <w:r>
        <w:rPr>
          <w:b/>
          <w:bCs/>
        </w:rPr>
        <w:t xml:space="preserve">especificación es la fuente de verdad</w:t>
      </w:r>
      <w:r>
        <w:t xml:space="preserve"> y precede al código. Primero se define, en lenguaje de negocio, </w:t>
      </w:r>
      <w:r>
        <w:rPr>
          <w:i/>
          <w:iCs/>
        </w:rPr>
        <w:t xml:space="preserve">qué</w:t>
      </w:r>
      <w:r>
        <w:t xml:space="preserve"> debe hacer el sistema y </w:t>
      </w:r>
      <w:r>
        <w:rPr>
          <w:i/>
          <w:iCs/>
        </w:rPr>
        <w:t xml:space="preserve">por qué</w:t>
      </w:r>
      <w:r>
        <w:t xml:space="preserve">; solo después se determina </w:t>
      </w:r>
      <w:r>
        <w:rPr>
          <w:i/>
          <w:iCs/>
        </w:rPr>
        <w:t xml:space="preserve">cómo</w:t>
      </w:r>
      <w:r>
        <w:t xml:space="preserve"> implementarlo. Herramientas como </w:t>
      </w:r>
      <w:r>
        <w:rPr>
          <w:b/>
          <w:bCs/>
        </w:rPr>
        <w:t xml:space="preserve">GitHub Spec Kit</w:t>
      </w:r>
      <w:r>
        <w:t xml:space="preserve"> estructuran este flujo en cuatro etapas —</w:t>
      </w:r>
      <w:r>
        <w:rPr>
          <w:rFonts w:ascii="Courier New" w:cs="Courier New" w:eastAsia="Courier New" w:hAnsi="Courier New"/>
        </w:rPr>
        <w:t xml:space="preserve">/specify</w:t>
      </w:r>
      <w:r>
        <w:t xml:space="preserve"> (especificar), </w:t>
      </w:r>
      <w:r>
        <w:rPr>
          <w:rFonts w:ascii="Courier New" w:cs="Courier New" w:eastAsia="Courier New" w:hAnsi="Courier New"/>
        </w:rPr>
        <w:t xml:space="preserve">/plan</w:t>
      </w:r>
      <w:r>
        <w:t xml:space="preserve"> (planificar el diseño), </w:t>
      </w:r>
      <w:r>
        <w:rPr>
          <w:rFonts w:ascii="Courier New" w:cs="Courier New" w:eastAsia="Courier New" w:hAnsi="Courier New"/>
        </w:rPr>
        <w:t xml:space="preserve">/tasks</w:t>
      </w:r>
      <w:r>
        <w:t xml:space="preserve"> (descomponer en tareas) e </w:t>
      </w:r>
      <w:r>
        <w:rPr>
          <w:rFonts w:ascii="Courier New" w:cs="Courier New" w:eastAsia="Courier New" w:hAnsi="Courier New"/>
        </w:rPr>
        <w:t xml:space="preserve">/implement</w:t>
      </w:r>
      <w:r>
        <w:t xml:space="preserve"> (implementar)—, garantizando la trazabilidad entre la necesidad, el diseño y el código. El SDD reduce la ambigüedad, evita el desarrollo de funcionalidades no solicitadas y produce una documentación viva que sirve de evidencia del proceso. Es el marco metodológico </w:t>
      </w:r>
      <w:r>
        <w:rPr>
          <w:b/>
          <w:bCs/>
        </w:rPr>
        <w:t xml:space="preserve">principal</w:t>
      </w:r>
      <w:r>
        <w:t xml:space="preserve"> de este proyecto.</w:t>
      </w:r>
    </w:p>
    <w:p>
      <w:pPr>
        <w:spacing w:after="0" w:line="360"/>
        <w:ind w:firstLine="720"/>
        <w:jc w:val="left"/>
      </w:pPr>
      <w:r>
        <w:t xml:space="preserve">##### 2.2.5.2 Scrum</w:t>
      </w:r>
    </w:p>
    <w:p>
      <w:pPr>
        <w:spacing w:after="0" w:line="360"/>
        <w:ind w:firstLine="720"/>
        <w:jc w:val="left"/>
      </w:pPr>
      <w:r>
        <w:t xml:space="preserve">Scrum es un marco de trabajo ágil para la gestión de proyectos complejos, basado en el desarrollo </w:t>
      </w:r>
      <w:r>
        <w:rPr>
          <w:b/>
          <w:bCs/>
        </w:rPr>
        <w:t xml:space="preserve">iterativo e incremental</w:t>
      </w:r>
      <w:r>
        <w:t xml:space="preserve"> a través de ciclos cortos denominados </w:t>
      </w:r>
      <w:r>
        <w:rPr>
          <w:i/>
          <w:iCs/>
        </w:rPr>
        <w:t xml:space="preserve">sprints</w:t>
      </w:r>
      <w:r>
        <w:t xml:space="preserve"> (típicamente de dos a cuatro semanas). Define:</w:t>
      </w:r>
    </w:p>
    <w:p>
      <w:pPr>
        <w:pStyle w:val="ListParagraph"/>
        <w:numPr>
          <w:ilvl w:val="0"/>
          <w:numId w:val="2"/>
        </w:numPr>
        <w:spacing w:after="40" w:line="360"/>
      </w:pPr>
      <w:r>
        <w:rPr>
          <w:b/>
          <w:bCs/>
        </w:rPr>
        <w:t xml:space="preserve">Roles:</w:t>
      </w:r>
      <w:r>
        <w:t xml:space="preserve"> el </w:t>
      </w:r>
      <w:r>
        <w:rPr>
          <w:i/>
          <w:iCs/>
        </w:rPr>
        <w:t xml:space="preserve">Product Owner</w:t>
      </w:r>
      <w:r>
        <w:t xml:space="preserve"> (responsable de maximizar el valor y gestionar el Product Backlog), el </w:t>
      </w:r>
      <w:r>
        <w:rPr>
          <w:i/>
          <w:iCs/>
        </w:rPr>
        <w:t xml:space="preserve">Scrum Master</w:t>
      </w:r>
      <w:r>
        <w:t xml:space="preserve"> (facilitador que garantiza la correcta aplicación del marco) y el </w:t>
      </w:r>
      <w:r>
        <w:rPr>
          <w:i/>
          <w:iCs/>
        </w:rPr>
        <w:t xml:space="preserve">equipo de desarrollo</w:t>
      </w:r>
      <w:r>
        <w:t xml:space="preserve"> (autoorganizado y multifuncional).</w:t>
      </w:r>
    </w:p>
    <w:p>
      <w:pPr>
        <w:pStyle w:val="ListParagraph"/>
        <w:numPr>
          <w:ilvl w:val="0"/>
          <w:numId w:val="2"/>
        </w:numPr>
        <w:spacing w:after="40" w:line="360"/>
      </w:pPr>
      <w:r>
        <w:rPr>
          <w:b/>
          <w:bCs/>
        </w:rPr>
        <w:t xml:space="preserve">Eventos:</w:t>
      </w:r>
      <w:r>
        <w:t xml:space="preserve"> la </w:t>
      </w:r>
      <w:r>
        <w:rPr>
          <w:i/>
          <w:iCs/>
        </w:rPr>
        <w:t xml:space="preserve">planificación del sprint</w:t>
      </w:r>
      <w:r>
        <w:t xml:space="preserve"> (Sprint Planning), la </w:t>
      </w:r>
      <w:r>
        <w:rPr>
          <w:i/>
          <w:iCs/>
        </w:rPr>
        <w:t xml:space="preserve">reunión diaria</w:t>
      </w:r>
      <w:r>
        <w:t xml:space="preserve"> (Daily Scrum), la </w:t>
      </w:r>
      <w:r>
        <w:rPr>
          <w:i/>
          <w:iCs/>
        </w:rPr>
        <w:t xml:space="preserve">revisión del sprint</w:t>
      </w:r>
      <w:r>
        <w:t xml:space="preserve"> (Sprint Review) y la </w:t>
      </w:r>
      <w:r>
        <w:rPr>
          <w:i/>
          <w:iCs/>
        </w:rPr>
        <w:t xml:space="preserve">retrospectiva</w:t>
      </w:r>
      <w:r>
        <w:t xml:space="preserve"> (Sprint Retrospective).</w:t>
      </w:r>
    </w:p>
    <w:p>
      <w:pPr>
        <w:pStyle w:val="ListParagraph"/>
        <w:numPr>
          <w:ilvl w:val="0"/>
          <w:numId w:val="2"/>
        </w:numPr>
        <w:spacing w:after="40" w:line="360"/>
      </w:pPr>
      <w:r>
        <w:rPr>
          <w:b/>
          <w:bCs/>
        </w:rPr>
        <w:t xml:space="preserve">Artefactos:</w:t>
      </w:r>
      <w:r>
        <w:t xml:space="preserve"> el </w:t>
      </w:r>
      <w:r>
        <w:rPr>
          <w:i/>
          <w:iCs/>
        </w:rPr>
        <w:t xml:space="preserve">Product Backlog</w:t>
      </w:r>
      <w:r>
        <w:t xml:space="preserve"> (lista priorizada de requisitos como historias de usuario), el </w:t>
      </w:r>
      <w:r>
        <w:rPr>
          <w:i/>
          <w:iCs/>
        </w:rPr>
        <w:t xml:space="preserve">Sprint Backlog</w:t>
      </w:r>
      <w:r>
        <w:t xml:space="preserve"> (trabajo comprometido para el sprint) y el </w:t>
      </w:r>
      <w:r>
        <w:rPr>
          <w:i/>
          <w:iCs/>
        </w:rPr>
        <w:t xml:space="preserve">Incremento</w:t>
      </w:r>
      <w:r>
        <w:t xml:space="preserve"> (producto potencialmente entregable al final de cada sprint).</w:t>
      </w:r>
    </w:p>
    <w:p>
      <w:pPr>
        <w:spacing w:after="0" w:line="360"/>
        <w:ind w:firstLine="720"/>
        <w:jc w:val="left"/>
      </w:pPr>
      <w:r>
        <w:t xml:space="preserve">En este proyecto, Scrum gestiona iterativamente las fases de análisis, diseño e implementación.</w:t>
      </w:r>
    </w:p>
    <w:p>
      <w:pPr>
        <w:spacing w:after="0" w:line="360"/>
        <w:ind w:firstLine="720"/>
        <w:jc w:val="left"/>
      </w:pPr>
      <w:r>
        <w:t xml:space="preserve">##### 2.2.5.3 Extreme Programming (XP)</w:t>
      </w:r>
    </w:p>
    <w:p>
      <w:pPr>
        <w:spacing w:after="0" w:line="360"/>
        <w:ind w:firstLine="720"/>
        <w:jc w:val="left"/>
      </w:pPr>
      <w:r>
        <w:t xml:space="preserve">Extreme Programming (XP), formulada por Kent Beck, es una metodología ágil centrada en la </w:t>
      </w:r>
      <w:r>
        <w:rPr>
          <w:b/>
          <w:bCs/>
        </w:rPr>
        <w:t xml:space="preserve">excelencia técnica y la calidad del código</w:t>
      </w:r>
      <w:r>
        <w:t xml:space="preserve">. Promueve prácticas de ingeniería como el </w:t>
      </w:r>
      <w:r>
        <w:rPr>
          <w:b/>
          <w:bCs/>
        </w:rPr>
        <w:t xml:space="preserve">desarrollo guiado por pruebas</w:t>
      </w:r>
      <w:r>
        <w:t xml:space="preserve"> (</w:t>
      </w:r>
      <w:r>
        <w:rPr>
          <w:i/>
          <w:iCs/>
        </w:rPr>
        <w:t xml:space="preserve">Test-Driven Development</w:t>
      </w:r>
      <w:r>
        <w:t xml:space="preserve">, TDD), la </w:t>
      </w:r>
      <w:r>
        <w:rPr>
          <w:b/>
          <w:bCs/>
        </w:rPr>
        <w:t xml:space="preserve">integración continua</w:t>
      </w:r>
      <w:r>
        <w:t xml:space="preserve">, el </w:t>
      </w:r>
      <w:r>
        <w:rPr>
          <w:b/>
          <w:bCs/>
        </w:rPr>
        <w:t xml:space="preserve">diseño simple</w:t>
      </w:r>
      <w:r>
        <w:t xml:space="preserve">, la </w:t>
      </w:r>
      <w:r>
        <w:rPr>
          <w:b/>
          <w:bCs/>
        </w:rPr>
        <w:t xml:space="preserve">refactorización</w:t>
      </w:r>
      <w:r>
        <w:t xml:space="preserve"> constante, los </w:t>
      </w:r>
      <w:r>
        <w:rPr>
          <w:b/>
          <w:bCs/>
        </w:rPr>
        <w:t xml:space="preserve">estándares de codificación</w:t>
      </w:r>
      <w:r>
        <w:t xml:space="preserve"> y la </w:t>
      </w:r>
      <w:r>
        <w:rPr>
          <w:b/>
          <w:bCs/>
        </w:rPr>
        <w:t xml:space="preserve">programación en parejas</w:t>
      </w:r>
      <w:r>
        <w:t xml:space="preserve">. XP complementa a Scrum: mientras este gestiona el </w:t>
      </w:r>
      <w:r>
        <w:rPr>
          <w:i/>
          <w:iCs/>
        </w:rPr>
        <w:t xml:space="preserve">qué</w:t>
      </w:r>
      <w:r>
        <w:t xml:space="preserve"> y el </w:t>
      </w:r>
      <w:r>
        <w:rPr>
          <w:i/>
          <w:iCs/>
        </w:rPr>
        <w:t xml:space="preserve">cuándo</w:t>
      </w:r>
      <w:r>
        <w:t xml:space="preserve">, XP aporta la disciplina técnica del </w:t>
      </w:r>
      <w:r>
        <w:rPr>
          <w:i/>
          <w:iCs/>
        </w:rPr>
        <w:t xml:space="preserve">cómo</w:t>
      </w:r>
      <w:r>
        <w:t xml:space="preserve">, asegurando un software mantenible y de alta calidad.</w:t>
      </w:r>
    </w:p>
    <w:p>
      <w:pPr>
        <w:pStyle w:val="Heading4"/>
        <w:spacing w:after="120" w:before="200" w:line="360"/>
      </w:pPr>
      <w:r>
        <w:t xml:space="preserve">2.2.6 Arquitectura de software</w:t>
      </w:r>
    </w:p>
    <w:p>
      <w:pPr>
        <w:spacing w:after="0" w:line="360"/>
        <w:ind w:firstLine="720"/>
        <w:jc w:val="left"/>
      </w:pPr>
      <w:r>
        <w:t xml:space="preserve">La arquitectura de software es la estructura fundamental de un sistema, compuesta por sus componentes, las relaciones entre ellos y los principios que gobiernan su diseño y evolución.</w:t>
      </w:r>
    </w:p>
    <w:p>
      <w:pPr>
        <w:spacing w:after="0" w:line="360"/>
        <w:ind w:firstLine="720"/>
        <w:jc w:val="left"/>
      </w:pPr>
      <w:r>
        <w:t xml:space="preserve">##### 2.2.6.1 Clean Architecture</w:t>
      </w:r>
    </w:p>
    <w:p>
      <w:pPr>
        <w:spacing w:after="0" w:line="360"/>
        <w:ind w:firstLine="720"/>
        <w:jc w:val="left"/>
      </w:pPr>
      <w:r>
        <w:t xml:space="preserve">Propuesta por Robert C. Martin (2017), la </w:t>
      </w:r>
      <w:r>
        <w:rPr>
          <w:b/>
          <w:bCs/>
        </w:rPr>
        <w:t xml:space="preserve">Arquitectura Limpia</w:t>
      </w:r>
      <w:r>
        <w:t xml:space="preserve"> organiza el software en capas concéntricas: en el centro, las entidades y reglas de negocio; alrededor, los casos de uso; y en las capas externas, los detalles técnicos (frameworks, base de datos, interfaz de usuario). Su principio rector es la </w:t>
      </w:r>
      <w:r>
        <w:rPr>
          <w:b/>
          <w:bCs/>
        </w:rPr>
        <w:t xml:space="preserve">regla de dependencia</w:t>
      </w:r>
      <w:r>
        <w:t xml:space="preserve">: las dependencias del código fuente solo pueden apuntar hacia adentro, hacia las políticas de mayor nivel. Esto aísla las reglas de negocio de los detalles de implementación, favoreciendo la testabilidad, la independencia tecnológica y la mantenibilidad. Es el estilo arquitectónico base de SITRAM.</w:t>
      </w:r>
    </w:p>
    <w:p>
      <w:pPr>
        <w:spacing w:after="0" w:line="360"/>
        <w:ind w:firstLine="720"/>
        <w:jc w:val="left"/>
      </w:pPr>
      <w:r>
        <w:t xml:space="preserve">##### 2.2.6.2 Domain-Driven Design (DDD)</w:t>
      </w:r>
    </w:p>
    <w:p>
      <w:pPr>
        <w:spacing w:after="0" w:line="360"/>
        <w:ind w:firstLine="720"/>
        <w:jc w:val="left"/>
      </w:pPr>
      <w:r>
        <w:t xml:space="preserve">El Diseño Guiado por el Dominio (DDD), formulado por Eric Evans (2003), propone modelar el software en torno al dominio del negocio y su </w:t>
      </w:r>
      <w:r>
        <w:rPr>
          <w:b/>
          <w:bCs/>
        </w:rPr>
        <w:t xml:space="preserve">lenguaje ubicuo</w:t>
      </w:r>
      <w:r>
        <w:t xml:space="preserve"> (</w:t>
      </w:r>
      <w:r>
        <w:rPr>
          <w:i/>
          <w:iCs/>
        </w:rPr>
        <w:t xml:space="preserve">ubiquitous language</w:t>
      </w:r>
      <w:r>
        <w:t xml:space="preserve">): un vocabulario común y riguroso compartido entre los expertos del dominio y los desarrolladores, que se refleja directamente en el código. Sus </w:t>
      </w:r>
      <w:r>
        <w:rPr>
          <w:b/>
          <w:bCs/>
        </w:rPr>
        <w:t xml:space="preserve">patrones tácticos</w:t>
      </w:r>
      <w:r>
        <w:t xml:space="preserve"> incluyen: la </w:t>
      </w:r>
      <w:r>
        <w:rPr>
          <w:b/>
          <w:bCs/>
        </w:rPr>
        <w:t xml:space="preserve">entidad</w:t>
      </w:r>
      <w:r>
        <w:t xml:space="preserve"> (objeto con identidad propia), el </w:t>
      </w:r>
      <w:r>
        <w:rPr>
          <w:b/>
          <w:bCs/>
        </w:rPr>
        <w:t xml:space="preserve">objeto de valor</w:t>
      </w:r>
      <w:r>
        <w:t xml:space="preserve"> (definido por sus atributos e inmutable), el </w:t>
      </w:r>
      <w:r>
        <w:rPr>
          <w:b/>
          <w:bCs/>
        </w:rPr>
        <w:t xml:space="preserve">agregado</w:t>
      </w:r>
      <w:r>
        <w:t xml:space="preserve"> (grupo de objetos tratados como una unidad de consistencia, con una raíz que controla el acceso), el </w:t>
      </w:r>
      <w:r>
        <w:rPr>
          <w:b/>
          <w:bCs/>
        </w:rPr>
        <w:t xml:space="preserve">evento de dominio</w:t>
      </w:r>
      <w:r>
        <w:t xml:space="preserve"> (hecho relevante del negocio) y el </w:t>
      </w:r>
      <w:r>
        <w:rPr>
          <w:b/>
          <w:bCs/>
        </w:rPr>
        <w:t xml:space="preserve">repositorio</w:t>
      </w:r>
      <w:r>
        <w:t xml:space="preserve"> (abstracción para persistir agregados). En SITRAM, el agregado raíz </w:t>
      </w:r>
      <w:r>
        <w:rPr>
          <w:rFonts w:ascii="Courier New" w:cs="Courier New" w:eastAsia="Courier New" w:hAnsi="Courier New"/>
        </w:rPr>
        <w:t xml:space="preserve">Tramite</w:t>
      </w:r>
      <w:r>
        <w:t xml:space="preserve"> encapsula la máquina de estados del expediente y garantiza sus invariantes.</w:t>
      </w:r>
    </w:p>
    <w:p>
      <w:pPr>
        <w:spacing w:after="0" w:line="360"/>
        <w:ind w:firstLine="720"/>
        <w:jc w:val="left"/>
      </w:pPr>
      <w:r>
        <w:t xml:space="preserve">##### 2.2.6.3 Patrón CQRS</w:t>
      </w:r>
    </w:p>
    <w:p>
      <w:pPr>
        <w:spacing w:after="0" w:line="360"/>
        <w:ind w:firstLine="720"/>
        <w:jc w:val="left"/>
      </w:pPr>
      <w:r>
        <w:rPr>
          <w:i/>
          <w:iCs/>
        </w:rPr>
        <w:t xml:space="preserve">Command Query Responsibility Segregation</w:t>
      </w:r>
      <w:r>
        <w:t xml:space="preserve"> (CQRS) es un patrón que separa las operaciones de </w:t>
      </w:r>
      <w:r>
        <w:rPr>
          <w:b/>
          <w:bCs/>
        </w:rPr>
        <w:t xml:space="preserve">escritura</w:t>
      </w:r>
      <w:r>
        <w:t xml:space="preserve"> (comandos, que modifican el estado del sistema) de las operaciones de </w:t>
      </w:r>
      <w:r>
        <w:rPr>
          <w:b/>
          <w:bCs/>
        </w:rPr>
        <w:t xml:space="preserve">lectura</w:t>
      </w:r>
      <w:r>
        <w:t xml:space="preserve"> (consultas, que no lo modifican). Esta separación simplifica cada operación, mejora la mantenibilidad y permite optimizar de forma independiente las lecturas y las escrituras. Se implementa habitualmente mediante el patrón </w:t>
      </w:r>
      <w:r>
        <w:rPr>
          <w:b/>
          <w:bCs/>
        </w:rPr>
        <w:t xml:space="preserve">mediador</w:t>
      </w:r>
      <w:r>
        <w:t xml:space="preserve"> (con librerías como MediatR en .NET), que desacopla al emisor de una petición de su manejador.</w:t>
      </w:r>
    </w:p>
    <w:p>
      <w:pPr>
        <w:keepNext/>
        <w:spacing w:after="0" w:line="360"/>
        <w:jc w:val="left"/>
      </w:pPr>
      <w:r>
        <w:rPr>
          <w:b/>
          <w:bCs/>
        </w:rPr>
        <w:t xml:space="preserve">Figura 1</w:t>
      </w:r>
    </w:p>
    <w:p>
      <w:pPr>
        <w:spacing w:after="0" w:line="360"/>
        <w:ind w:firstLine="720"/>
        <w:jc w:val="left"/>
      </w:pPr>
      <w:r>
        <w:rPr>
          <w:i/>
          <w:iCs/>
        </w:rPr>
        <w:t xml:space="preserve">Flujo de un comando bajo el patrón CQRS en SITRAM</w:t>
      </w:r>
    </w:p>
    <w:p>
      <w:pPr>
        <w:spacing w:after="80" w:line="240"/>
        <w:jc w:val="center"/>
      </w:pPr>
      <w:r>
        <w:drawing>
          <wp:inline distT="0" distB="0" distL="0" distR="0">
            <wp:extent cx="5334000" cy="799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991475"/>
                    </a:xfrm>
                    <a:prstGeom prst="rect">
                      <a:avLst/>
                    </a:prstGeom>
                  </pic:spPr>
                </pic:pic>
              </a:graphicData>
            </a:graphic>
          </wp:inline>
        </w:drawing>
      </w:r>
    </w:p>
    <w:p>
      <w:pPr>
        <w:keepNext/>
        <w:spacing w:after="0" w:line="360"/>
        <w:jc w:val="left"/>
      </w:pPr>
      <w:r>
        <w:rPr>
          <w:i/>
          <w:iCs/>
        </w:rPr>
        <w:t xml:space="preserve">Nota.</w:t>
      </w:r>
      <w:r>
        <w:t xml:space="preserve"> Elaboración propia a partir del diseño arquitectónico del proyecto.</w:t>
      </w:r>
    </w:p>
    <w:p>
      <w:pPr>
        <w:spacing w:after="0" w:line="360"/>
        <w:ind w:firstLine="720"/>
        <w:jc w:val="left"/>
      </w:pPr>
      <w:r>
        <w:t xml:space="preserve">##### 2.2.6.4 Patrones de diseño</w:t>
      </w:r>
    </w:p>
    <w:p>
      <w:pPr>
        <w:spacing w:after="0" w:line="360"/>
        <w:ind w:firstLine="720"/>
        <w:jc w:val="left"/>
      </w:pPr>
      <w:r>
        <w:t xml:space="preserve">Los patrones de diseño son soluciones reutilizables a problemas recurrentes del diseño de software. El proyecto emplea, entre otros: el </w:t>
      </w:r>
      <w:r>
        <w:rPr>
          <w:b/>
          <w:bCs/>
        </w:rPr>
        <w:t xml:space="preserve">Repositorio</w:t>
      </w:r>
      <w:r>
        <w:t xml:space="preserve"> (abstracción del acceso a datos), la </w:t>
      </w:r>
      <w:r>
        <w:rPr>
          <w:b/>
          <w:bCs/>
        </w:rPr>
        <w:t xml:space="preserve">Inyección de Dependencias</w:t>
      </w:r>
      <w:r>
        <w:t xml:space="preserve"> (</w:t>
      </w:r>
      <w:r>
        <w:rPr>
          <w:i/>
          <w:iCs/>
        </w:rPr>
        <w:t xml:space="preserve">Dependency Injection</w:t>
      </w:r>
      <w:r>
        <w:t xml:space="preserve">, que provee las dependencias de un objeto desde el exterior, favoreciendo el desacoplamiento) y el </w:t>
      </w:r>
      <w:r>
        <w:rPr>
          <w:b/>
          <w:bCs/>
        </w:rPr>
        <w:t xml:space="preserve">Mediador</w:t>
      </w:r>
      <w:r>
        <w:t xml:space="preserve">. Estos patrones se alinean con los principios </w:t>
      </w:r>
      <w:r>
        <w:rPr>
          <w:b/>
          <w:bCs/>
        </w:rPr>
        <w:t xml:space="preserve">SOLID</w:t>
      </w:r>
      <w:r>
        <w:t xml:space="preserve"> (responsabilidad única, abierto/cerrado, sustitución de Liskov, segregación de interfaces e inversión de dependencias).</w:t>
      </w:r>
    </w:p>
    <w:p>
      <w:pPr>
        <w:pStyle w:val="Heading4"/>
        <w:spacing w:after="120" w:before="200" w:line="360"/>
      </w:pPr>
      <w:r>
        <w:t xml:space="preserve">2.2.7 Tecnologías de desarrollo</w:t>
      </w:r>
    </w:p>
    <w:p>
      <w:pPr>
        <w:spacing w:after="0" w:line="360"/>
        <w:ind w:firstLine="720"/>
        <w:jc w:val="left"/>
      </w:pPr>
      <w:r>
        <w:t xml:space="preserve">##### 2.2.7.1 Plataforma .NET y lenguaje C#</w:t>
      </w:r>
    </w:p>
    <w:p>
      <w:pPr>
        <w:spacing w:after="0" w:line="360"/>
        <w:ind w:firstLine="720"/>
        <w:jc w:val="left"/>
      </w:pPr>
      <w:r>
        <w:rPr>
          <w:b/>
          <w:bCs/>
        </w:rPr>
        <w:t xml:space="preserve">.NET</w:t>
      </w:r>
      <w:r>
        <w:t xml:space="preserve"> es una plataforma de desarrollo multiplataforma, de código abierto, mantenida por Microsoft, que permite construir aplicaciones para web, escritorio, móvil y nube. </w:t>
      </w:r>
      <w:r>
        <w:rPr>
          <w:b/>
          <w:bCs/>
        </w:rPr>
        <w:t xml:space="preserve">.NET 10</w:t>
      </w:r>
      <w:r>
        <w:t xml:space="preserve"> es su versión de soporte a largo plazo (LTS), lo que garantiza estabilidad y mantenimiento prolongado. </w:t>
      </w:r>
      <w:r>
        <w:rPr>
          <w:b/>
          <w:bCs/>
        </w:rPr>
        <w:t xml:space="preserve">C#</w:t>
      </w:r>
      <w:r>
        <w:t xml:space="preserve"> es un lenguaje de programación orientado a objetos, fuertemente tipado, moderno y expresivo; su versión </w:t>
      </w:r>
      <w:r>
        <w:rPr>
          <w:b/>
          <w:bCs/>
        </w:rPr>
        <w:t xml:space="preserve">14</w:t>
      </w:r>
      <w:r>
        <w:t xml:space="preserve"> incorpora mejoras de productividad y de seguridad de tipos.</w:t>
      </w:r>
    </w:p>
    <w:p>
      <w:pPr>
        <w:spacing w:after="0" w:line="360"/>
        <w:ind w:firstLine="720"/>
        <w:jc w:val="left"/>
      </w:pPr>
      <w:r>
        <w:t xml:space="preserve">##### 2.2.7.2 ASP.NET Core y API REST</w:t>
      </w:r>
    </w:p>
    <w:p>
      <w:pPr>
        <w:spacing w:after="0" w:line="360"/>
        <w:ind w:firstLine="720"/>
        <w:jc w:val="left"/>
      </w:pPr>
      <w:r>
        <w:rPr>
          <w:b/>
          <w:bCs/>
        </w:rPr>
        <w:t xml:space="preserve">ASP.NET Core</w:t>
      </w:r>
      <w:r>
        <w:t xml:space="preserve"> es el framework de .NET para construir aplicaciones y APIs web de alto rendimiento. Ofrece un modelo de </w:t>
      </w:r>
      <w:r>
        <w:rPr>
          <w:i/>
          <w:iCs/>
        </w:rPr>
        <w:t xml:space="preserve">middleware</w:t>
      </w:r>
      <w:r>
        <w:t xml:space="preserve"> (componentes encadenados que procesan cada petición HTTP), inyección de dependencias integrada, y facilidades para exponer APIs REST documentadas mediante </w:t>
      </w:r>
      <w:r>
        <w:rPr>
          <w:b/>
          <w:bCs/>
        </w:rPr>
        <w:t xml:space="preserve">OpenAPI/Swagger</w:t>
      </w:r>
      <w:r>
        <w:t xml:space="preserve">.</w:t>
      </w:r>
    </w:p>
    <w:p>
      <w:pPr>
        <w:spacing w:after="0" w:line="360"/>
        <w:ind w:firstLine="720"/>
        <w:jc w:val="left"/>
      </w:pPr>
      <w:r>
        <w:t xml:space="preserve">##### 2.2.7.3 SQL Server</w:t>
      </w:r>
    </w:p>
    <w:p>
      <w:pPr>
        <w:spacing w:after="0" w:line="360"/>
        <w:ind w:firstLine="720"/>
        <w:jc w:val="left"/>
      </w:pPr>
      <w:r>
        <w:rPr>
          <w:b/>
          <w:bCs/>
        </w:rPr>
        <w:t xml:space="preserve">SQL Server 2022</w:t>
      </w:r>
      <w:r>
        <w:t xml:space="preserve"> es un sistema gestor de bases de datos relacional (SGBDR) de Microsoft que garantiza las propiedades </w:t>
      </w:r>
      <w:r>
        <w:rPr>
          <w:b/>
          <w:bCs/>
        </w:rPr>
        <w:t xml:space="preserve">ACID</w:t>
      </w:r>
      <w:r>
        <w:t xml:space="preserve"> (atomicidad, consistencia, aislamiento y durabilidad) de las transacciones. Ofrece capacidades avanzadas de seguridad como el </w:t>
      </w:r>
      <w:r>
        <w:rPr>
          <w:b/>
          <w:bCs/>
        </w:rPr>
        <w:t xml:space="preserve">cifrado transparente de datos</w:t>
      </w:r>
      <w:r>
        <w:t xml:space="preserve"> (TDE) para el cifrado en reposo y </w:t>
      </w:r>
      <w:r>
        <w:rPr>
          <w:b/>
          <w:bCs/>
        </w:rPr>
        <w:t xml:space="preserve">Always Encrypted</w:t>
      </w:r>
      <w:r>
        <w:t xml:space="preserve"> para el cifrado a nivel de columna de datos sensibles.</w:t>
      </w:r>
    </w:p>
    <w:p>
      <w:pPr>
        <w:spacing w:after="0" w:line="360"/>
        <w:ind w:firstLine="720"/>
        <w:jc w:val="left"/>
      </w:pPr>
      <w:r>
        <w:t xml:space="preserve">##### 2.2.7.4 Entity Framework Core</w:t>
      </w:r>
    </w:p>
    <w:p>
      <w:pPr>
        <w:spacing w:after="0" w:line="360"/>
        <w:ind w:firstLine="720"/>
        <w:jc w:val="left"/>
      </w:pPr>
      <w:r>
        <w:rPr>
          <w:b/>
          <w:bCs/>
        </w:rPr>
        <w:t xml:space="preserve">Entity Framework Core 10</w:t>
      </w:r>
      <w:r>
        <w:t xml:space="preserve"> es el mapeador objeto-relacional (ORM) de .NET, que permite a los desarrolladores trabajar con la base de datos mediante objetos del lenguaje en lugar de SQL directo. Soporta el enfoque </w:t>
      </w:r>
      <w:r>
        <w:rPr>
          <w:i/>
          <w:iCs/>
        </w:rPr>
        <w:t xml:space="preserve">code-first</w:t>
      </w:r>
      <w:r>
        <w:t xml:space="preserve"> y el versionado del esquema mediante </w:t>
      </w:r>
      <w:r>
        <w:rPr>
          <w:b/>
          <w:bCs/>
        </w:rPr>
        <w:t xml:space="preserve">migraciones</w:t>
      </w:r>
      <w:r>
        <w:t xml:space="preserve">, lo que facilita la evolución controlada de la base de datos.</w:t>
      </w:r>
    </w:p>
    <w:p>
      <w:pPr>
        <w:spacing w:after="0" w:line="360"/>
        <w:ind w:firstLine="720"/>
        <w:jc w:val="left"/>
      </w:pPr>
      <w:r>
        <w:t xml:space="preserve">##### 2.2.7.5 Blazor (interfaz de usuario)</w:t>
      </w:r>
    </w:p>
    <w:p>
      <w:pPr>
        <w:spacing w:after="0" w:line="360"/>
        <w:ind w:firstLine="720"/>
        <w:jc w:val="left"/>
      </w:pPr>
      <w:r>
        <w:rPr>
          <w:b/>
          <w:bCs/>
        </w:rPr>
        <w:t xml:space="preserve">Blazor</w:t>
      </w:r>
      <w:r>
        <w:t xml:space="preserve"> es el framework de .NET para construir interfaces de usuario web interactivas con C#, prescindiendo de JavaScript. Ofrece distintos modos de render; el proyecto adopta el </w:t>
      </w:r>
      <w:r>
        <w:rPr>
          <w:b/>
          <w:bCs/>
        </w:rPr>
        <w:t xml:space="preserve">render interactivo en servidor</w:t>
      </w:r>
      <w:r>
        <w:t xml:space="preserve"> (</w:t>
      </w:r>
      <w:r>
        <w:rPr>
          <w:i/>
          <w:iCs/>
        </w:rPr>
        <w:t xml:space="preserve">Interactive Server</w:t>
      </w:r>
      <w:r>
        <w:t xml:space="preserve">), en el que la lógica de la interfaz se ejecuta en el servidor y el navegador solo recibe las diferencias de la interfaz a través de una conexión en tiempo real. Esta elección tiene una motivación de seguridad y protección de datos: la lógica y los </w:t>
      </w:r>
      <w:r>
        <w:rPr>
          <w:b/>
          <w:bCs/>
        </w:rPr>
        <w:t xml:space="preserve">datos personales no se descargan al navegador</w:t>
      </w:r>
      <w:r>
        <w:t xml:space="preserve">, la sesión autenticada no se almacena en el cliente (evitando el robo de token por </w:t>
      </w:r>
      <w:r>
        <w:rPr>
          <w:i/>
          <w:iCs/>
        </w:rPr>
        <w:t xml:space="preserve">cross-site scripting</w:t>
      </w:r>
      <w:r>
        <w:t xml:space="preserve">) y el motor de plantillas codifica la salida por defecto, mitigando dicho riesgo. Al compartir el lenguaje (C#) con el backend, se reutilizan los objetos de transferencia (DTO) y las validaciones, y se reduce la dependencia de librerías de terceros. La justificación completa se documenta en el ADR de frontend del proyecto.</w:t>
      </w:r>
    </w:p>
    <w:p>
      <w:pPr>
        <w:pStyle w:val="Heading4"/>
        <w:spacing w:after="120" w:before="200" w:line="360"/>
      </w:pPr>
      <w:r>
        <w:t xml:space="preserve">2.2.8 Seguridad de la información</w:t>
      </w:r>
    </w:p>
    <w:p>
      <w:pPr>
        <w:spacing w:after="0" w:line="360"/>
        <w:ind w:firstLine="720"/>
        <w:jc w:val="left"/>
      </w:pPr>
      <w:r>
        <w:t xml:space="preserve">##### 2.2.8.1 La tríada CID</w:t>
      </w:r>
    </w:p>
    <w:p>
      <w:pPr>
        <w:spacing w:after="0" w:line="360"/>
        <w:ind w:firstLine="720"/>
        <w:jc w:val="left"/>
      </w:pPr>
      <w:r>
        <w:t xml:space="preserve">La seguridad de la información se sustenta en tres propiedades fundamentales, conocidas como la tríada </w:t>
      </w:r>
      <w:r>
        <w:rPr>
          <w:b/>
          <w:bCs/>
        </w:rPr>
        <w:t xml:space="preserve">CID</w:t>
      </w:r>
      <w:r>
        <w:t xml:space="preserve">: la </w:t>
      </w:r>
      <w:r>
        <w:rPr>
          <w:b/>
          <w:bCs/>
        </w:rPr>
        <w:t xml:space="preserve">confidencialidad</w:t>
      </w:r>
      <w:r>
        <w:t xml:space="preserve"> (la información solo es accesible para quienes están autorizados), la </w:t>
      </w:r>
      <w:r>
        <w:rPr>
          <w:b/>
          <w:bCs/>
        </w:rPr>
        <w:t xml:space="preserve">integridad</w:t>
      </w:r>
      <w:r>
        <w:t xml:space="preserve"> (la información es exacta y no ha sido alterada indebidamente) y la </w:t>
      </w:r>
      <w:r>
        <w:rPr>
          <w:b/>
          <w:bCs/>
        </w:rPr>
        <w:t xml:space="preserve">disponibilidad</w:t>
      </w:r>
      <w:r>
        <w:t xml:space="preserve"> (la información y los servicios están accesibles cuando se necesitan).</w:t>
      </w:r>
    </w:p>
    <w:p>
      <w:pPr>
        <w:spacing w:after="0" w:line="360"/>
        <w:ind w:firstLine="720"/>
        <w:jc w:val="left"/>
      </w:pPr>
      <w:r>
        <w:t xml:space="preserve">##### 2.2.8.2 Autenticación y JWT</w:t>
      </w:r>
    </w:p>
    <w:p>
      <w:pPr>
        <w:spacing w:after="0" w:line="360"/>
        <w:ind w:firstLine="720"/>
        <w:jc w:val="left"/>
      </w:pPr>
      <w:r>
        <w:t xml:space="preserve">La </w:t>
      </w:r>
      <w:r>
        <w:rPr>
          <w:b/>
          <w:bCs/>
        </w:rPr>
        <w:t xml:space="preserve">autenticación</w:t>
      </w:r>
      <w:r>
        <w:t xml:space="preserve"> es el proceso de verificar la identidad de un usuario. Un mecanismo moderno y ampliamente adoptado es el </w:t>
      </w:r>
      <w:r>
        <w:rPr>
          <w:b/>
          <w:bCs/>
        </w:rPr>
        <w:t xml:space="preserve">JWT</w:t>
      </w:r>
      <w:r>
        <w:t xml:space="preserve"> (</w:t>
      </w:r>
      <w:r>
        <w:rPr>
          <w:i/>
          <w:iCs/>
        </w:rPr>
        <w:t xml:space="preserve">JSON Web Token</w:t>
      </w:r>
      <w:r>
        <w:t xml:space="preserve">): un token compacto, firmado digitalmente, que transporta información (</w:t>
      </w:r>
      <w:r>
        <w:rPr>
          <w:i/>
          <w:iCs/>
        </w:rPr>
        <w:t xml:space="preserve">claims</w:t>
      </w:r>
      <w:r>
        <w:t xml:space="preserve">) sobre la identidad y los permisos del usuario. Al ser autocontenido y firmado, permite una autenticación </w:t>
      </w:r>
      <w:r>
        <w:rPr>
          <w:b/>
          <w:bCs/>
        </w:rPr>
        <w:t xml:space="preserve">sin estado</w:t>
      </w:r>
      <w:r>
        <w:t xml:space="preserve"> (</w:t>
      </w:r>
      <w:r>
        <w:rPr>
          <w:i/>
          <w:iCs/>
        </w:rPr>
        <w:t xml:space="preserve">stateless</w:t>
      </w:r>
      <w:r>
        <w:t xml:space="preserve">) en el servidor, lo que favorece la escalabilidad. Su seguridad se refuerza con tokens de vida corta y </w:t>
      </w:r>
      <w:r>
        <w:rPr>
          <w:i/>
          <w:iCs/>
        </w:rPr>
        <w:t xml:space="preserve">refresh tokens</w:t>
      </w:r>
      <w:r>
        <w:t xml:space="preserve"> rotativos.</w:t>
      </w:r>
    </w:p>
    <w:p>
      <w:pPr>
        <w:spacing w:after="0" w:line="360"/>
        <w:ind w:firstLine="720"/>
        <w:jc w:val="left"/>
      </w:pPr>
      <w:r>
        <w:t xml:space="preserve">##### 2.2.8.3 Autorización y RBAC</w:t>
      </w:r>
    </w:p>
    <w:p>
      <w:pPr>
        <w:spacing w:after="0" w:line="360"/>
        <w:ind w:firstLine="720"/>
        <w:jc w:val="left"/>
      </w:pPr>
      <w:r>
        <w:t xml:space="preserve">La </w:t>
      </w:r>
      <w:r>
        <w:rPr>
          <w:b/>
          <w:bCs/>
        </w:rPr>
        <w:t xml:space="preserve">autorización</w:t>
      </w:r>
      <w:r>
        <w:t xml:space="preserve"> determina qué acciones puede realizar un usuario autenticado. El </w:t>
      </w:r>
      <w:r>
        <w:rPr>
          <w:b/>
          <w:bCs/>
        </w:rPr>
        <w:t xml:space="preserve">control de acceso basado en roles</w:t>
      </w:r>
      <w:r>
        <w:t xml:space="preserve"> (</w:t>
      </w:r>
      <w:r>
        <w:rPr>
          <w:i/>
          <w:iCs/>
        </w:rPr>
        <w:t xml:space="preserve">Role-Based Access Control</w:t>
      </w:r>
      <w:r>
        <w:t xml:space="preserve">, RBAC) es un modelo que asigna permisos a </w:t>
      </w:r>
      <w:r>
        <w:rPr>
          <w:b/>
          <w:bCs/>
        </w:rPr>
        <w:t xml:space="preserve">roles</w:t>
      </w:r>
      <w:r>
        <w:t xml:space="preserve">, y roles a </w:t>
      </w:r>
      <w:r>
        <w:rPr>
          <w:b/>
          <w:bCs/>
        </w:rPr>
        <w:t xml:space="preserve">usuarios</w:t>
      </w:r>
      <w:r>
        <w:t xml:space="preserve">, bajo el principio de </w:t>
      </w:r>
      <w:r>
        <w:rPr>
          <w:b/>
          <w:bCs/>
        </w:rPr>
        <w:t xml:space="preserve">mínimo privilegio</w:t>
      </w:r>
      <w:r>
        <w:t xml:space="preserve">: cada actor recibe únicamente los permisos imprescindibles para su función. Este modelo facilita la gestión, la auditoría y la modificación de los permisos sin alterar el código.</w:t>
      </w:r>
    </w:p>
    <w:p>
      <w:pPr>
        <w:spacing w:after="0" w:line="360"/>
        <w:ind w:firstLine="720"/>
        <w:jc w:val="left"/>
      </w:pPr>
      <w:r>
        <w:t xml:space="preserve">##### 2.2.8.4 Criptografía</w:t>
      </w:r>
    </w:p>
    <w:p>
      <w:pPr>
        <w:spacing w:after="0" w:line="360"/>
        <w:ind w:firstLine="720"/>
        <w:jc w:val="left"/>
      </w:pPr>
      <w:r>
        <w:t xml:space="preserve">La </w:t>
      </w:r>
      <w:r>
        <w:rPr>
          <w:b/>
          <w:bCs/>
        </w:rPr>
        <w:t xml:space="preserve">criptografía</w:t>
      </w:r>
      <w:r>
        <w:t xml:space="preserve"> protege la información transformándola de modo que solo sea legible por quienes poseen la clave adecuada. Se distinguen: el </w:t>
      </w:r>
      <w:r>
        <w:rPr>
          <w:b/>
          <w:bCs/>
        </w:rPr>
        <w:t xml:space="preserve">cifrado simétrico</w:t>
      </w:r>
      <w:r>
        <w:t xml:space="preserve"> (una misma clave cifra y descifra, p. ej. AES), el </w:t>
      </w:r>
      <w:r>
        <w:rPr>
          <w:b/>
          <w:bCs/>
        </w:rPr>
        <w:t xml:space="preserve">cifrado asimétrico</w:t>
      </w:r>
      <w:r>
        <w:t xml:space="preserve"> (par de claves pública y privada) y las </w:t>
      </w:r>
      <w:r>
        <w:rPr>
          <w:b/>
          <w:bCs/>
        </w:rPr>
        <w:t xml:space="preserve">funciones de hash</w:t>
      </w:r>
      <w:r>
        <w:t xml:space="preserve"> (transformación unidireccional, usada para almacenar contraseñas mediante algoritmos como bcrypt o PBKDF2). En tránsito, los datos se protegen con </w:t>
      </w:r>
      <w:r>
        <w:rPr>
          <w:b/>
          <w:bCs/>
        </w:rPr>
        <w:t xml:space="preserve">TLS</w:t>
      </w:r>
      <w:r>
        <w:t xml:space="preserve"> (</w:t>
      </w:r>
      <w:r>
        <w:rPr>
          <w:i/>
          <w:iCs/>
        </w:rPr>
        <w:t xml:space="preserve">Transport Layer Security</w:t>
      </w:r>
      <w:r>
        <w:t xml:space="preserve">), que cifra la comunicación entre cliente y servidor (HTTPS). En reposo, se emplean TDE y el cifrado a nivel de columna.</w:t>
      </w:r>
    </w:p>
    <w:p>
      <w:pPr>
        <w:spacing w:after="0" w:line="360"/>
        <w:ind w:firstLine="720"/>
        <w:jc w:val="left"/>
      </w:pPr>
      <w:r>
        <w:t xml:space="preserve">##### 2.2.8.5 OWASP</w:t>
      </w:r>
    </w:p>
    <w:p>
      <w:pPr>
        <w:spacing w:after="0" w:line="360"/>
        <w:ind w:firstLine="720"/>
        <w:jc w:val="left"/>
      </w:pPr>
      <w:r>
        <w:t xml:space="preserve">El </w:t>
      </w:r>
      <w:r>
        <w:rPr>
          <w:i/>
          <w:iCs/>
        </w:rPr>
        <w:t xml:space="preserve">Open Worldwide Application Security Project</w:t>
      </w:r>
      <w:r>
        <w:t xml:space="preserve"> (</w:t>
      </w:r>
      <w:r>
        <w:rPr>
          <w:b/>
          <w:bCs/>
        </w:rPr>
        <w:t xml:space="preserve">OWASP</w:t>
      </w:r>
      <w:r>
        <w:t xml:space="preserve">) es una organización sin fines de lucro de referencia en seguridad de aplicaciones. Su </w:t>
      </w:r>
      <w:r>
        <w:rPr>
          <w:b/>
          <w:bCs/>
        </w:rPr>
        <w:t xml:space="preserve">Top 10</w:t>
      </w:r>
      <w:r>
        <w:t xml:space="preserve"> enumera los riesgos de seguridad más críticos —encabezados por el </w:t>
      </w:r>
      <w:r>
        <w:rPr>
          <w:b/>
          <w:bCs/>
        </w:rPr>
        <w:t xml:space="preserve">control de acceso roto</w:t>
      </w:r>
      <w:r>
        <w:t xml:space="preserve"> (</w:t>
      </w:r>
      <w:r>
        <w:rPr>
          <w:i/>
          <w:iCs/>
        </w:rPr>
        <w:t xml:space="preserve">Broken Access Control</w:t>
      </w:r>
      <w:r>
        <w:t xml:space="preserve">)—, y su estándar </w:t>
      </w:r>
      <w:r>
        <w:rPr>
          <w:b/>
          <w:bCs/>
        </w:rPr>
        <w:t xml:space="preserve">ASVS</w:t>
      </w:r>
      <w:r>
        <w:t xml:space="preserve"> (</w:t>
      </w:r>
      <w:r>
        <w:rPr>
          <w:i/>
          <w:iCs/>
        </w:rPr>
        <w:t xml:space="preserve">Application Security Verification Standard</w:t>
      </w:r>
      <w:r>
        <w:t xml:space="preserve">) proporciona una lista verificable de controles de seguridad, que este proyecto adopta como base de su checklist.</w:t>
      </w:r>
    </w:p>
    <w:p>
      <w:pPr>
        <w:pStyle w:val="Heading4"/>
        <w:spacing w:after="120" w:before="200" w:line="360"/>
      </w:pPr>
      <w:r>
        <w:t xml:space="preserve">2.2.9 Protección de datos personales</w:t>
      </w:r>
    </w:p>
    <w:p>
      <w:pPr>
        <w:spacing w:after="0" w:line="360"/>
        <w:ind w:firstLine="720"/>
        <w:jc w:val="left"/>
      </w:pPr>
      <w:r>
        <w:t xml:space="preserve">##### 2.2.9.1 Concepto y principios</w:t>
      </w:r>
    </w:p>
    <w:p>
      <w:pPr>
        <w:spacing w:after="0" w:line="360"/>
        <w:ind w:firstLine="720"/>
        <w:jc w:val="left"/>
      </w:pPr>
      <w:r>
        <w:t xml:space="preserve">Los </w:t>
      </w:r>
      <w:r>
        <w:rPr>
          <w:b/>
          <w:bCs/>
        </w:rPr>
        <w:t xml:space="preserve">datos personales</w:t>
      </w:r>
      <w:r>
        <w:t xml:space="preserve"> son toda información sobre una persona natural que la identifica o la hace identificable. Su tratamiento se rige por principios fundamentales: </w:t>
      </w:r>
      <w:r>
        <w:rPr>
          <w:b/>
          <w:bCs/>
        </w:rPr>
        <w:t xml:space="preserve">consentimiento</w:t>
      </w:r>
      <w:r>
        <w:t xml:space="preserve"> (autorización informada del titular), </w:t>
      </w:r>
      <w:r>
        <w:rPr>
          <w:b/>
          <w:bCs/>
        </w:rPr>
        <w:t xml:space="preserve">finalidad</w:t>
      </w:r>
      <w:r>
        <w:t xml:space="preserve"> (uso limitado al propósito declarado), </w:t>
      </w:r>
      <w:r>
        <w:rPr>
          <w:b/>
          <w:bCs/>
        </w:rPr>
        <w:t xml:space="preserve">proporcionalidad</w:t>
      </w:r>
      <w:r>
        <w:t xml:space="preserve"> o minimización (recolectar solo lo necesario), </w:t>
      </w:r>
      <w:r>
        <w:rPr>
          <w:b/>
          <w:bCs/>
        </w:rPr>
        <w:t xml:space="preserve">calidad</w:t>
      </w:r>
      <w:r>
        <w:t xml:space="preserve"> (datos exactos y actualizados) y </w:t>
      </w:r>
      <w:r>
        <w:rPr>
          <w:b/>
          <w:bCs/>
        </w:rPr>
        <w:t xml:space="preserve">seguridad</w:t>
      </w:r>
      <w:r>
        <w:t xml:space="preserve"> (medidas técnicas y organizativas adecuadas).</w:t>
      </w:r>
    </w:p>
    <w:p>
      <w:pPr>
        <w:spacing w:after="0" w:line="360"/>
        <w:ind w:firstLine="720"/>
        <w:jc w:val="left"/>
      </w:pPr>
      <w:r>
        <w:t xml:space="preserve">##### 2.2.9.2 Ley N.° 29733 y su reglamento</w:t>
      </w:r>
    </w:p>
    <w:p>
      <w:pPr>
        <w:spacing w:after="0" w:line="360"/>
        <w:ind w:firstLine="720"/>
        <w:jc w:val="left"/>
      </w:pPr>
      <w:r>
        <w:t xml:space="preserve">En el Perú, la </w:t>
      </w:r>
      <w:r>
        <w:rPr>
          <w:b/>
          <w:bCs/>
        </w:rPr>
        <w:t xml:space="preserve">Ley N.° 29733 – Ley de Protección de Datos Personales</w:t>
      </w:r>
      <w:r>
        <w:t xml:space="preserve"> y su reglamento vigente, el </w:t>
      </w:r>
      <w:r>
        <w:rPr>
          <w:b/>
          <w:bCs/>
        </w:rPr>
        <w:t xml:space="preserve">Decreto Supremo N.° 016-2024-JUS</w:t>
      </w:r>
      <w:r>
        <w:t xml:space="preserve"> (en vigor desde marzo de 2024), constituyen el marco legal aplicable, análogo al Reglamento General de Protección de Datos (GDPR) europeo. El reglamento de 2024 reforzó las obligaciones de las entidades, incorporando la designación de un </w:t>
      </w:r>
      <w:r>
        <w:rPr>
          <w:b/>
          <w:bCs/>
        </w:rPr>
        <w:t xml:space="preserve">Oficial de Datos Personales</w:t>
      </w:r>
      <w:r>
        <w:t xml:space="preserve">, la </w:t>
      </w:r>
      <w:r>
        <w:rPr>
          <w:b/>
          <w:bCs/>
        </w:rPr>
        <w:t xml:space="preserve">notificación de incidentes de seguridad</w:t>
      </w:r>
      <w:r>
        <w:t xml:space="preserve"> (brechas de datos) y el derecho de </w:t>
      </w:r>
      <w:r>
        <w:rPr>
          <w:b/>
          <w:bCs/>
        </w:rPr>
        <w:t xml:space="preserve">portabilidad</w:t>
      </w:r>
      <w:r>
        <w:t xml:space="preserve">, bajo un régimen sancionador que en 2024 impuso multas por más de 13,4 millones de soles.</w:t>
      </w:r>
    </w:p>
    <w:p>
      <w:pPr>
        <w:spacing w:after="0" w:line="360"/>
        <w:ind w:firstLine="720"/>
        <w:jc w:val="left"/>
      </w:pPr>
      <w:r>
        <w:t xml:space="preserve">##### 2.2.9.3 Derechos ARCO y portabilidad</w:t>
      </w:r>
    </w:p>
    <w:p>
      <w:pPr>
        <w:spacing w:after="0" w:line="360"/>
        <w:ind w:firstLine="720"/>
        <w:jc w:val="left"/>
      </w:pPr>
      <w:r>
        <w:t xml:space="preserve">Los titulares de datos personales gozan de los </w:t>
      </w:r>
      <w:r>
        <w:rPr>
          <w:b/>
          <w:bCs/>
        </w:rPr>
        <w:t xml:space="preserve">derechos ARCO</w:t>
      </w:r>
      <w:r>
        <w:t xml:space="preserve">: </w:t>
      </w:r>
      <w:r>
        <w:rPr>
          <w:b/>
          <w:bCs/>
        </w:rPr>
        <w:t xml:space="preserve">Acceso</w:t>
      </w:r>
      <w:r>
        <w:t xml:space="preserve"> (conocer qué datos suyos se tratan), </w:t>
      </w:r>
      <w:r>
        <w:rPr>
          <w:b/>
          <w:bCs/>
        </w:rPr>
        <w:t xml:space="preserve">Rectificación</w:t>
      </w:r>
      <w:r>
        <w:t xml:space="preserve"> (corregir datos inexactos), </w:t>
      </w:r>
      <w:r>
        <w:rPr>
          <w:b/>
          <w:bCs/>
        </w:rPr>
        <w:t xml:space="preserve">Cancelación</w:t>
      </w:r>
      <w:r>
        <w:t xml:space="preserve"> (eliminar sus datos cuando proceda, el llamado "derecho al olvido") y </w:t>
      </w:r>
      <w:r>
        <w:rPr>
          <w:b/>
          <w:bCs/>
        </w:rPr>
        <w:t xml:space="preserve">Oposición</w:t>
      </w:r>
      <w:r>
        <w:t xml:space="preserve"> (oponerse al tratamiento). El reglamento de 2024 añade el derecho de </w:t>
      </w:r>
      <w:r>
        <w:rPr>
          <w:b/>
          <w:bCs/>
        </w:rPr>
        <w:t xml:space="preserve">portabilidad</w:t>
      </w:r>
      <w:r>
        <w:t xml:space="preserve"> (obtener y transferir sus datos en un formato interoperable). La plataforma SITRAM implementa estos derechos como funcionalidades concretas.</w:t>
      </w:r>
    </w:p>
    <w:p>
      <w:pPr>
        <w:pStyle w:val="Heading4"/>
        <w:spacing w:after="120" w:before="200" w:line="360"/>
      </w:pPr>
      <w:r>
        <w:t xml:space="preserve">2.2.10 Calidad de software</w:t>
      </w:r>
    </w:p>
    <w:p>
      <w:pPr>
        <w:spacing w:after="0" w:line="360"/>
        <w:ind w:firstLine="720"/>
        <w:jc w:val="left"/>
      </w:pPr>
      <w:r>
        <w:t xml:space="preserve">##### 2.2.10.1 ISO/IEC 25010</w:t>
      </w:r>
    </w:p>
    <w:p>
      <w:pPr>
        <w:spacing w:after="0" w:line="360"/>
        <w:ind w:firstLine="720"/>
        <w:jc w:val="left"/>
      </w:pPr>
      <w:r>
        <w:t xml:space="preserve">La norma </w:t>
      </w:r>
      <w:r>
        <w:rPr>
          <w:b/>
          <w:bCs/>
        </w:rPr>
        <w:t xml:space="preserve">ISO/IEC 25010</w:t>
      </w:r>
      <w:r>
        <w:t xml:space="preserve"> define un modelo de calidad del producto de software estructurado en ocho características: adecuación funcional, eficiencia de desempeño, compatibilidad, </w:t>
      </w:r>
      <w:r>
        <w:rPr>
          <w:b/>
          <w:bCs/>
        </w:rPr>
        <w:t xml:space="preserve">usabilidad</w:t>
      </w:r>
      <w:r>
        <w:t xml:space="preserve">, fiabilidad, </w:t>
      </w:r>
      <w:r>
        <w:rPr>
          <w:b/>
          <w:bCs/>
        </w:rPr>
        <w:t xml:space="preserve">seguridad</w:t>
      </w:r>
      <w:r>
        <w:t xml:space="preserve">, mantenibilidad y portabilidad. Este modelo orienta la definición de los requisitos no funcionales del proyecto.</w:t>
      </w:r>
    </w:p>
    <w:p>
      <w:pPr>
        <w:spacing w:after="0" w:line="360"/>
        <w:ind w:firstLine="720"/>
        <w:jc w:val="left"/>
      </w:pPr>
      <w:r>
        <w:t xml:space="preserve">##### 2.2.10.2 Usabilidad y la escala SUS</w:t>
      </w:r>
    </w:p>
    <w:p>
      <w:pPr>
        <w:spacing w:after="0" w:line="360"/>
        <w:ind w:firstLine="720"/>
        <w:jc w:val="left"/>
      </w:pPr>
      <w:r>
        <w:t xml:space="preserve">La </w:t>
      </w:r>
      <w:r>
        <w:rPr>
          <w:b/>
          <w:bCs/>
        </w:rPr>
        <w:t xml:space="preserve">usabilidad</w:t>
      </w:r>
      <w:r>
        <w:t xml:space="preserve"> es la medida en que un producto puede ser utilizado por usuarios específicos para alcanzar objetivos con eficacia, eficiencia y satisfacción. Para su evaluación, este proyecto emplea la </w:t>
      </w:r>
      <w:r>
        <w:rPr>
          <w:b/>
          <w:bCs/>
        </w:rPr>
        <w:t xml:space="preserve">Escala de Usabilidad del Sistema</w:t>
      </w:r>
      <w:r>
        <w:t xml:space="preserve"> (</w:t>
      </w:r>
      <w:r>
        <w:rPr>
          <w:i/>
          <w:iCs/>
        </w:rPr>
        <w:t xml:space="preserve">System Usability Scale</w:t>
      </w:r>
      <w:r>
        <w:t xml:space="preserve">, SUS), desarrollada por John Brooke (1996): un instrumento estandarizado de </w:t>
      </w:r>
      <w:r>
        <w:rPr>
          <w:b/>
          <w:bCs/>
        </w:rPr>
        <w:t xml:space="preserve">10 ítems</w:t>
      </w:r>
      <w:r>
        <w:t xml:space="preserve"> en escala Likert de cinco puntos que produce un puntaje global de 0 a 100. Es un instrumento robusto, rápido de aplicar y con una confiabilidad reportada elevada (α ≈ 0,91), ampliamente utilizado en la industria y la academia.</w:t>
      </w:r>
    </w:p>
    <w:p>
      <w:pPr>
        <w:pStyle w:val="Heading4"/>
        <w:spacing w:after="120" w:before="200" w:line="360"/>
      </w:pPr>
      <w:r>
        <w:t xml:space="preserve">2.2.11 Pruebas de software</w:t>
      </w:r>
    </w:p>
    <w:p>
      <w:pPr>
        <w:spacing w:after="0" w:line="360"/>
        <w:ind w:firstLine="720"/>
        <w:jc w:val="left"/>
      </w:pPr>
      <w:r>
        <w:t xml:space="preserve">Las </w:t>
      </w:r>
      <w:r>
        <w:rPr>
          <w:b/>
          <w:bCs/>
        </w:rPr>
        <w:t xml:space="preserve">pruebas de software</w:t>
      </w:r>
      <w:r>
        <w:t xml:space="preserve"> (</w:t>
      </w:r>
      <w:r>
        <w:rPr>
          <w:i/>
          <w:iCs/>
        </w:rPr>
        <w:t xml:space="preserve">testing</w:t>
      </w:r>
      <w:r>
        <w:t xml:space="preserve">) son el conjunto de actividades orientadas a verificar que el software cumple con sus requisitos y a detectar defectos. Se organizan en niveles: las </w:t>
      </w:r>
      <w:r>
        <w:rPr>
          <w:b/>
          <w:bCs/>
        </w:rPr>
        <w:t xml:space="preserve">pruebas unitarias</w:t>
      </w:r>
      <w:r>
        <w:t xml:space="preserve"> (verifican una unidad de código de forma aislada), las </w:t>
      </w:r>
      <w:r>
        <w:rPr>
          <w:b/>
          <w:bCs/>
        </w:rPr>
        <w:t xml:space="preserve">pruebas de integración</w:t>
      </w:r>
      <w:r>
        <w:t xml:space="preserve"> (verifican la interacción entre varios componentes, incluida la base de datos) y las </w:t>
      </w:r>
      <w:r>
        <w:rPr>
          <w:b/>
          <w:bCs/>
        </w:rPr>
        <w:t xml:space="preserve">pruebas de extremo a extremo</w:t>
      </w:r>
      <w:r>
        <w:t xml:space="preserve"> (</w:t>
      </w:r>
      <w:r>
        <w:rPr>
          <w:i/>
          <w:iCs/>
        </w:rPr>
        <w:t xml:space="preserve">end-to-end</w:t>
      </w:r>
      <w:r>
        <w:t xml:space="preserve">, que verifican el sistema completo desde la perspectiva del usuario). En el ecosistema .NET se emplean frameworks como </w:t>
      </w:r>
      <w:r>
        <w:rPr>
          <w:b/>
          <w:bCs/>
        </w:rPr>
        <w:t xml:space="preserve">xUnit</w:t>
      </w:r>
      <w:r>
        <w:t xml:space="preserve">, junto con librerías de simulación de dependencias (</w:t>
      </w:r>
      <w:r>
        <w:rPr>
          <w:i/>
          <w:iCs/>
        </w:rPr>
        <w:t xml:space="preserve">mocking</w:t>
      </w:r>
      <w:r>
        <w:t xml:space="preserve">, como Moq) y de aserciones expresivas (como FluentAssertions). La </w:t>
      </w:r>
      <w:r>
        <w:rPr>
          <w:b/>
          <w:bCs/>
        </w:rPr>
        <w:t xml:space="preserve">cobertura de pruebas</w:t>
      </w:r>
      <w:r>
        <w:t xml:space="preserve"> —el porcentaje de código ejercitado por las pruebas— es un indicador de la calidad y la mantenibilidad del software.</w:t>
      </w:r>
    </w:p>
    <w:p>
      <w:pPr>
        <w:pStyle w:val="Heading3"/>
        <w:spacing w:after="120" w:before="200" w:line="360"/>
      </w:pPr>
      <w:r>
        <w:t xml:space="preserve">2.3 Comparación y justificación del stack tecnológico</w:t>
      </w:r>
    </w:p>
    <w:p>
      <w:pPr>
        <w:spacing w:after="0" w:line="360"/>
        <w:ind w:firstLine="720"/>
        <w:jc w:val="left"/>
      </w:pPr>
      <w:r>
        <w:t xml:space="preserve">La selección de las tecnologías se realizó considerando los requisitos de seguridad, rendimiento, mantenibilidad y las capacidades de cumplimiento normativo del proyecto.</w:t>
      </w:r>
    </w:p>
    <w:p>
      <w:pPr>
        <w:keepNext/>
        <w:spacing w:after="0" w:line="360"/>
        <w:jc w:val="left"/>
      </w:pPr>
      <w:r>
        <w:rPr>
          <w:b/>
          <w:bCs/>
        </w:rPr>
        <w:t xml:space="preserve">Tabla 1</w:t>
      </w:r>
    </w:p>
    <w:p>
      <w:pPr>
        <w:spacing w:after="0" w:line="360"/>
        <w:ind w:firstLine="720"/>
        <w:jc w:val="left"/>
      </w:pPr>
      <w:r>
        <w:rPr>
          <w:i/>
          <w:iCs/>
        </w:rPr>
        <w:t xml:space="preserve">Comparación y justificación del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Necesidad</w:t>
            </w:r>
          </w:p>
        </w:tc>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Alternativas evaluadas</w:t>
            </w:r>
          </w:p>
        </w:tc>
        <w:tc>
          <w:tcPr>
            <w:tcW w:type="dxa" w:w="3010"/>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Elección y justificación</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Lenguaje / plataforma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Java/Spring, Node.js, Python/Django</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C# 14 / .NET 10 (LTS)</w:t>
            </w:r>
            <w:r>
              <w:t xml:space="preserve">: robustez, rendimiento, tipado fuerte, soporte prolongado e integración nativa con seguridad y SQL Server</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Interfaz de usuario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React, Angular (SPA con token en el navegador)</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Blazor (render en servidor)</w:t>
            </w:r>
            <w:r>
              <w:t xml:space="preserve">: mantiene lógica y datos personales fuera del navegador, sin token en el cliente y con un solo lenguaje (C#)</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Base de datos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PostgreSQL, MySQL, MongoDB</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SQL Server 2022</w:t>
            </w:r>
            <w:r>
              <w:t xml:space="preserve">: modelo relacional ACID y capacidades de cifrado (TDE, Always Encrypted) que apoyan el cumplimiento de la Ley 29733</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ORM</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Dapper, ADO.NET</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Entity Framework Core 10</w:t>
            </w:r>
            <w:r>
              <w:t xml:space="preserve">: productividad, migraciones versionadas y abstracción del acceso a datos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Arquitectura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3 capas, CRUD, microservicios</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Clean Architecture + DDD</w:t>
            </w:r>
            <w:r>
              <w:t xml:space="preserve">: criticidad de las reglas de negocio, testabilidad y auditoría</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Metodología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Cascada, solo Scrum</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SDD</w:t>
            </w:r>
            <w:r>
              <w:t xml:space="preserve"> (núcleo) + Scrum + XP: trazabilidad especificación→código, gestión ágil y calidad técnica</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Autenticación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Sesiones, OAuth externo</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Identity + JWT + RBAC</w:t>
            </w:r>
            <w:r>
              <w:t xml:space="preserve">: control de acceso granular, sin estado y auditable</w:t>
            </w:r>
          </w:p>
        </w:tc>
      </w:tr>
    </w:tbl>
    <w:p>
      <w:pPr>
        <w:spacing w:after="120"/>
      </w:pPr>
    </w:p>
    <w:p>
      <w:pPr>
        <w:spacing w:after="0" w:line="360"/>
        <w:ind w:firstLine="720"/>
        <w:jc w:val="left"/>
      </w:pPr>
      <w:r>
        <w:t xml:space="preserve">La justificación detallada de cada decisión se documenta en los Registros de Decisiones de Arquitectura (ADR) del proyecto.</w:t>
      </w:r>
    </w:p>
    <w:p>
      <w:pPr>
        <w:pStyle w:val="Heading3"/>
        <w:spacing w:after="120" w:before="200" w:line="360"/>
      </w:pPr>
      <w:r>
        <w:t xml:space="preserve">2.4 Definición de términos básicos</w:t>
      </w:r>
    </w:p>
    <w:p>
      <w:pPr>
        <w:pStyle w:val="ListParagraph"/>
        <w:numPr>
          <w:ilvl w:val="0"/>
          <w:numId w:val="2"/>
        </w:numPr>
        <w:spacing w:after="40" w:line="360"/>
      </w:pPr>
      <w:r>
        <w:rPr>
          <w:b/>
          <w:bCs/>
        </w:rPr>
        <w:t xml:space="preserve">API REST:</w:t>
      </w:r>
      <w:r>
        <w:t xml:space="preserve"> interfaz de comunicación entre sistemas basada en los métodos del protocolo HTTP.</w:t>
      </w:r>
    </w:p>
    <w:p>
      <w:pPr>
        <w:pStyle w:val="ListParagraph"/>
        <w:numPr>
          <w:ilvl w:val="0"/>
          <w:numId w:val="2"/>
        </w:numPr>
        <w:spacing w:after="40" w:line="360"/>
      </w:pPr>
      <w:r>
        <w:rPr>
          <w:b/>
          <w:bCs/>
        </w:rPr>
        <w:t xml:space="preserve">Agregado:</w:t>
      </w:r>
      <w:r>
        <w:t xml:space="preserve"> grupo de objetos del dominio tratados como una unidad de consistencia.</w:t>
      </w:r>
    </w:p>
    <w:p>
      <w:pPr>
        <w:pStyle w:val="ListParagraph"/>
        <w:numPr>
          <w:ilvl w:val="0"/>
          <w:numId w:val="2"/>
        </w:numPr>
        <w:spacing w:after="40" w:line="360"/>
      </w:pPr>
      <w:r>
        <w:rPr>
          <w:b/>
          <w:bCs/>
        </w:rPr>
        <w:t xml:space="preserve">Auditoría:</w:t>
      </w:r>
      <w:r>
        <w:t xml:space="preserve"> registro inmutable de las acciones realizadas en el sistema (quién, qué, cuándo, desde dónde).</w:t>
      </w:r>
    </w:p>
    <w:p>
      <w:pPr>
        <w:pStyle w:val="ListParagraph"/>
        <w:numPr>
          <w:ilvl w:val="0"/>
          <w:numId w:val="2"/>
        </w:numPr>
        <w:spacing w:after="40" w:line="360"/>
      </w:pPr>
      <w:r>
        <w:rPr>
          <w:b/>
          <w:bCs/>
        </w:rPr>
        <w:t xml:space="preserve">Cifrado:</w:t>
      </w:r>
      <w:r>
        <w:t xml:space="preserve"> transformación de datos para que solo sean legibles con la clave adecuada.</w:t>
      </w:r>
    </w:p>
    <w:p>
      <w:pPr>
        <w:pStyle w:val="ListParagraph"/>
        <w:numPr>
          <w:ilvl w:val="0"/>
          <w:numId w:val="2"/>
        </w:numPr>
        <w:spacing w:after="40" w:line="360"/>
      </w:pPr>
      <w:r>
        <w:rPr>
          <w:b/>
          <w:bCs/>
        </w:rPr>
        <w:t xml:space="preserve">JWT:</w:t>
      </w:r>
      <w:r>
        <w:t xml:space="preserve"> token firmado que transporta la identidad y los permisos de un usuario.</w:t>
      </w:r>
    </w:p>
    <w:p>
      <w:pPr>
        <w:pStyle w:val="ListParagraph"/>
        <w:numPr>
          <w:ilvl w:val="0"/>
          <w:numId w:val="2"/>
        </w:numPr>
        <w:spacing w:after="40" w:line="360"/>
      </w:pPr>
      <w:r>
        <w:rPr>
          <w:b/>
          <w:bCs/>
        </w:rPr>
        <w:t xml:space="preserve">MVP:</w:t>
      </w:r>
      <w:r>
        <w:t xml:space="preserve"> Producto Mínimo Viable; versión con las funcionalidades esenciales para validar la solución.</w:t>
      </w:r>
    </w:p>
    <w:p>
      <w:pPr>
        <w:pStyle w:val="ListParagraph"/>
        <w:numPr>
          <w:ilvl w:val="0"/>
          <w:numId w:val="2"/>
        </w:numPr>
        <w:spacing w:after="40" w:line="360"/>
      </w:pPr>
      <w:r>
        <w:rPr>
          <w:b/>
          <w:bCs/>
        </w:rPr>
        <w:t xml:space="preserve">RBAC:</w:t>
      </w:r>
      <w:r>
        <w:t xml:space="preserve"> control de acceso basado en roles y permisos.</w:t>
      </w:r>
    </w:p>
    <w:p>
      <w:pPr>
        <w:pStyle w:val="ListParagraph"/>
        <w:numPr>
          <w:ilvl w:val="0"/>
          <w:numId w:val="2"/>
        </w:numPr>
        <w:spacing w:after="40" w:line="360"/>
      </w:pPr>
      <w:r>
        <w:rPr>
          <w:b/>
          <w:bCs/>
        </w:rPr>
        <w:t xml:space="preserve">SDD:</w:t>
      </w:r>
      <w:r>
        <w:t xml:space="preserve"> Desarrollo Guiado por Especificaciones.</w:t>
      </w:r>
    </w:p>
    <w:p>
      <w:pPr>
        <w:pStyle w:val="ListParagraph"/>
        <w:numPr>
          <w:ilvl w:val="0"/>
          <w:numId w:val="2"/>
        </w:numPr>
        <w:spacing w:after="40" w:line="360"/>
      </w:pPr>
      <w:r>
        <w:rPr>
          <w:b/>
          <w:bCs/>
        </w:rPr>
        <w:t xml:space="preserve">TUPA:</w:t>
      </w:r>
      <w:r>
        <w:t xml:space="preserve"> Texto Único de Procedimientos Administrativos.</w:t>
      </w:r>
    </w:p>
    <w:p>
      <w:pPr>
        <w:pStyle w:val="ListParagraph"/>
        <w:numPr>
          <w:ilvl w:val="0"/>
          <w:numId w:val="2"/>
        </w:numPr>
        <w:spacing w:after="40" w:line="360"/>
      </w:pPr>
      <w:r>
        <w:rPr>
          <w:b/>
          <w:bCs/>
        </w:rPr>
        <w:t xml:space="preserve">Trámite:</w:t>
      </w:r>
      <w:r>
        <w:t xml:space="preserve"> procedimiento administrativo que un ciudadano realiza ante la municipalidad.</w:t>
      </w:r>
    </w:p>
    <w:p>
      <w:pPr>
        <w:pStyle w:val="ListParagraph"/>
        <w:numPr>
          <w:ilvl w:val="0"/>
          <w:numId w:val="2"/>
        </w:numPr>
        <w:spacing w:after="40" w:line="360"/>
      </w:pPr>
      <w:r>
        <w:rPr>
          <w:b/>
          <w:bCs/>
        </w:rPr>
        <w:t xml:space="preserve">Usabilidad:</w:t>
      </w:r>
      <w:r>
        <w:t xml:space="preserve"> facilidad con la que los usuarios logran sus objetivos al usar el sistema.</w:t>
      </w:r>
    </w:p>
    <w:p>
      <w:pPr>
        <w:pageBreakBefore/>
      </w:pPr>
    </w:p>
    <w:p>
      <w:pPr>
        <w:pStyle w:val="Heading1"/>
        <w:spacing w:after="120" w:before="200" w:line="360"/>
      </w:pPr>
      <w:r>
        <w:t xml:space="preserve">Capítulo III</w:t>
      </w:r>
    </w:p>
    <w:p>
      <w:pPr>
        <w:pStyle w:val="Heading2"/>
        <w:spacing w:after="120" w:before="200" w:line="360"/>
      </w:pPr>
      <w:r>
        <w:t xml:space="preserve">Material y Métodos</w:t>
      </w:r>
    </w:p>
    <w:p>
      <w:pPr>
        <w:pStyle w:val="Heading3"/>
        <w:spacing w:after="120" w:before="200" w:line="360"/>
      </w:pPr>
      <w:r>
        <w:t xml:space="preserve">3.1 Tipo de investigación</w:t>
      </w:r>
    </w:p>
    <w:p>
      <w:pPr>
        <w:spacing w:after="0" w:line="360"/>
        <w:ind w:firstLine="720"/>
        <w:jc w:val="left"/>
      </w:pPr>
      <w:r>
        <w:t xml:space="preserve">La presente investigación es de tipo </w:t>
      </w:r>
      <w:r>
        <w:rPr>
          <w:b/>
          <w:bCs/>
        </w:rPr>
        <w:t xml:space="preserve">aplicada – tecnológica</w:t>
      </w:r>
      <w:r>
        <w:t xml:space="preserve">. Es aplicada porque su finalidad no es la generación de conocimiento teórico puro, sino la </w:t>
      </w:r>
      <w:r>
        <w:rPr>
          <w:b/>
          <w:bCs/>
        </w:rPr>
        <w:t xml:space="preserve">resolución de un problema concreto y práctico</w:t>
      </w:r>
      <w:r>
        <w:t xml:space="preserve">: la gestión presencial, opaca e insegura de los trámites en las municipalidades. Es tecnológica porque el resultado principal es un </w:t>
      </w:r>
      <w:r>
        <w:rPr>
          <w:b/>
          <w:bCs/>
        </w:rPr>
        <w:t xml:space="preserve">artefacto de software</w:t>
      </w:r>
      <w:r>
        <w:t xml:space="preserve"> —una plataforma web— construido mediante la aplicación sistemática de conocimientos de ingeniería. Este tipo de investigación se orienta a transformar la realidad, aportando una solución tangible y verificable.</w:t>
      </w:r>
    </w:p>
    <w:p>
      <w:pPr>
        <w:pStyle w:val="Heading3"/>
        <w:spacing w:after="120" w:before="200" w:line="360"/>
      </w:pPr>
      <w:r>
        <w:t xml:space="preserve">3.2 Nivel de investigación</w:t>
      </w:r>
    </w:p>
    <w:p>
      <w:pPr>
        <w:spacing w:after="0" w:line="360"/>
        <w:ind w:firstLine="720"/>
        <w:jc w:val="left"/>
      </w:pPr>
      <w:r>
        <w:t xml:space="preserve">El nivel de la investigación es </w:t>
      </w:r>
      <w:r>
        <w:rPr>
          <w:b/>
          <w:bCs/>
        </w:rPr>
        <w:t xml:space="preserve">descriptivo</w:t>
      </w:r>
      <w:r>
        <w:t xml:space="preserve">. El estudio busca </w:t>
      </w:r>
      <w:r>
        <w:rPr>
          <w:b/>
          <w:bCs/>
        </w:rPr>
        <w:t xml:space="preserve">describir y caracterizar</w:t>
      </w:r>
      <w:r>
        <w:t xml:space="preserve"> los resultados obtenidos en cada fase del desarrollo (análisis, diseño e implementación) y las propiedades del producto resultante (funcionamiento, cumplimiento de seguridad y usabilidad), sin manipular deliberadamente las variables ni establecer relaciones de causa-efecto entre ellas. La investigación describe "cómo es y cómo se manifiesta" el fenómeno estudiado —en este caso, el desarrollo y las características de la plataforma—.</w:t>
      </w:r>
    </w:p>
    <w:p>
      <w:pPr>
        <w:pStyle w:val="Heading3"/>
        <w:spacing w:after="120" w:before="200" w:line="360"/>
      </w:pPr>
      <w:r>
        <w:t xml:space="preserve">3.3 Diseño de investigación</w:t>
      </w:r>
    </w:p>
    <w:p>
      <w:pPr>
        <w:spacing w:after="0" w:line="360"/>
        <w:ind w:firstLine="720"/>
        <w:jc w:val="left"/>
      </w:pPr>
      <w:r>
        <w:t xml:space="preserve">El diseño es </w:t>
      </w:r>
      <w:r>
        <w:rPr>
          <w:b/>
          <w:bCs/>
        </w:rPr>
        <w:t xml:space="preserve">no experimental</w:t>
      </w:r>
      <w:r>
        <w:t xml:space="preserve">, de corte </w:t>
      </w:r>
      <w:r>
        <w:rPr>
          <w:b/>
          <w:bCs/>
        </w:rPr>
        <w:t xml:space="preserve">transversal</w:t>
      </w:r>
      <w:r>
        <w:t xml:space="preserve">, con </w:t>
      </w:r>
      <w:r>
        <w:rPr>
          <w:b/>
          <w:bCs/>
        </w:rPr>
        <w:t xml:space="preserve">enfoque cuantitativo</w:t>
      </w:r>
      <w:r>
        <w:t xml:space="preserve">.</w:t>
      </w:r>
    </w:p>
    <w:p>
      <w:pPr>
        <w:pStyle w:val="ListParagraph"/>
        <w:numPr>
          <w:ilvl w:val="0"/>
          <w:numId w:val="2"/>
        </w:numPr>
        <w:spacing w:after="40" w:line="360"/>
      </w:pPr>
      <w:r>
        <w:t xml:space="preserve">Es </w:t>
      </w:r>
      <w:r>
        <w:rPr>
          <w:b/>
          <w:bCs/>
        </w:rPr>
        <w:t xml:space="preserve">no experimental</w:t>
      </w:r>
      <w:r>
        <w:t xml:space="preserve"> porque no se manipulan intencionalmente las variables independientes; se observa el fenómeno tal como se presenta.</w:t>
      </w:r>
    </w:p>
    <w:p>
      <w:pPr>
        <w:pStyle w:val="ListParagraph"/>
        <w:numPr>
          <w:ilvl w:val="0"/>
          <w:numId w:val="2"/>
        </w:numPr>
        <w:spacing w:after="40" w:line="360"/>
      </w:pPr>
      <w:r>
        <w:t xml:space="preserve">Es </w:t>
      </w:r>
      <w:r>
        <w:rPr>
          <w:b/>
          <w:bCs/>
        </w:rPr>
        <w:t xml:space="preserve">transversal</w:t>
      </w:r>
      <w:r>
        <w:t xml:space="preserve"> (o transeccional) porque la medición de las variables se realiza en un </w:t>
      </w:r>
      <w:r>
        <w:rPr>
          <w:b/>
          <w:bCs/>
        </w:rPr>
        <w:t xml:space="preserve">único momento</w:t>
      </w:r>
      <w:r>
        <w:t xml:space="preserve"> en el tiempo, sobre el producto ya desarrollado y la muestra piloto.</w:t>
      </w:r>
    </w:p>
    <w:p>
      <w:pPr>
        <w:pStyle w:val="ListParagraph"/>
        <w:numPr>
          <w:ilvl w:val="0"/>
          <w:numId w:val="2"/>
        </w:numPr>
        <w:spacing w:after="40" w:line="360"/>
      </w:pPr>
      <w:r>
        <w:t xml:space="preserve">Es de </w:t>
      </w:r>
      <w:r>
        <w:rPr>
          <w:b/>
          <w:bCs/>
        </w:rPr>
        <w:t xml:space="preserve">enfoque cuantitativo</w:t>
      </w:r>
      <w:r>
        <w:t xml:space="preserve"> porque los indicadores se expresan y analizan numéricamente (porcentajes de cumplimiento, puntaje SUS, coeficientes de validación y confiabilidad).</w:t>
      </w:r>
    </w:p>
    <w:p>
      <w:pPr>
        <w:spacing w:after="0" w:line="360"/>
        <w:ind w:firstLine="720"/>
        <w:jc w:val="left"/>
      </w:pPr>
      <w:r>
        <w:t xml:space="preserve">El esquema del diseño puede representarse como:</w:t>
      </w:r>
    </w:p>
    <w:p>
      <w:pPr>
        <w:spacing w:after="0" w:line="240"/>
      </w:pPr>
      <w:r>
        <w:rPr>
          <w:rFonts w:ascii="Courier New" w:cs="Courier New" w:eastAsia="Courier New" w:hAnsi="Courier New"/>
          <w:sz w:val="16"/>
          <w:szCs w:val="16"/>
        </w:rPr>
        <w:t xml:space="preserve">        M  ──────────►  O</w:t>
      </w:r>
    </w:p>
    <w:p>
      <w:pPr>
        <w:spacing w:after="80"/>
      </w:pPr>
    </w:p>
    <w:p>
      <w:pPr>
        <w:spacing w:after="0" w:line="360"/>
        <w:ind w:firstLine="720"/>
        <w:jc w:val="left"/>
      </w:pPr>
      <w:r>
        <w:t xml:space="preserve">Donde </w:t>
      </w:r>
      <w:r>
        <w:rPr>
          <w:b/>
          <w:bCs/>
        </w:rPr>
        <w:t xml:space="preserve">M</w:t>
      </w:r>
      <w:r>
        <w:t xml:space="preserve"> representa la muestra (la plataforma desarrollada y los usuarios piloto) y </w:t>
      </w:r>
      <w:r>
        <w:rPr>
          <w:b/>
          <w:bCs/>
        </w:rPr>
        <w:t xml:space="preserve">O</w:t>
      </w:r>
      <w:r>
        <w:t xml:space="preserve"> representa la observación o medición de las variables (funcionamiento, seguridad y usabilidad) realizada en un solo momento.</w:t>
      </w:r>
    </w:p>
    <w:p>
      <w:pPr>
        <w:pStyle w:val="Heading3"/>
        <w:spacing w:after="120" w:before="200" w:line="360"/>
      </w:pPr>
      <w:r>
        <w:t xml:space="preserve">3.4 Población y muestra</w:t>
      </w:r>
    </w:p>
    <w:p>
      <w:pPr>
        <w:pStyle w:val="Heading4"/>
        <w:spacing w:after="120" w:before="200" w:line="360"/>
      </w:pPr>
      <w:r>
        <w:t xml:space="preserve">3.4.1 Población</w:t>
      </w:r>
    </w:p>
    <w:p>
      <w:pPr>
        <w:spacing w:after="0" w:line="360"/>
        <w:ind w:firstLine="720"/>
        <w:jc w:val="left"/>
      </w:pPr>
      <w:r>
        <w:t xml:space="preserve">La población está conformada por los </w:t>
      </w:r>
      <w:r>
        <w:rPr>
          <w:b/>
          <w:bCs/>
        </w:rPr>
        <w:t xml:space="preserve">trámites y los usuarios del ámbito municipal</w:t>
      </w:r>
      <w:r>
        <w:t xml:space="preserve"> —ciudadanos que solicitan servicios y funcionarios que los gestionan—, tomando como caso de referencia la </w:t>
      </w:r>
      <w:r>
        <w:rPr>
          <w:b/>
          <w:bCs/>
        </w:rPr>
        <w:t xml:space="preserve">Municipalidad Distrital de San Juan Bautista</w:t>
      </w:r>
      <w:r>
        <w:t xml:space="preserve"> (provincia de Huamanga, región de Ayacucho).</w:t>
      </w:r>
    </w:p>
    <w:p>
      <w:pPr>
        <w:pStyle w:val="Heading4"/>
        <w:spacing w:after="120" w:before="200" w:line="360"/>
      </w:pPr>
      <w:r>
        <w:t xml:space="preserve">3.4.2 Muestra</w:t>
      </w:r>
    </w:p>
    <w:p>
      <w:pPr>
        <w:spacing w:after="0" w:line="360"/>
        <w:ind w:firstLine="720"/>
        <w:jc w:val="left"/>
      </w:pPr>
      <w:r>
        <w:t xml:space="preserve">Se emplea un </w:t>
      </w:r>
      <w:r>
        <w:rPr>
          <w:b/>
          <w:bCs/>
        </w:rPr>
        <w:t xml:space="preserve">muestreo no probabilístico por conveniencia</w:t>
      </w:r>
      <w:r>
        <w:t xml:space="preserve">, técnica en la que los elementos se seleccionan según su accesibilidad y disponibilidad para el investigador, adecuada para las fases iniciales de validación de software. Para la evaluación de usabilidad se define una </w:t>
      </w:r>
      <w:r>
        <w:rPr>
          <w:b/>
          <w:bCs/>
        </w:rPr>
        <w:t xml:space="preserve">muestra piloto de 20 usuarios</w:t>
      </w:r>
      <w:r>
        <w:t xml:space="preserve">, tamaño coherente con la práctica reportada en la literatura de usabilidad, donde se reconoce que muestras reducidas permiten detectar la mayoría de los problemas de usabilidad.</w:t>
      </w:r>
    </w:p>
    <w:p>
      <w:pPr>
        <w:spacing w:after="0" w:line="360"/>
        <w:ind w:firstLine="720"/>
        <w:jc w:val="left"/>
      </w:pPr>
      <w:r>
        <w:rPr>
          <w:b/>
          <w:bCs/>
        </w:rPr>
        <w:t xml:space="preserve">Criterios de inclusión:</w:t>
      </w:r>
    </w:p>
    <w:p>
      <w:pPr>
        <w:pStyle w:val="ListParagraph"/>
        <w:numPr>
          <w:ilvl w:val="0"/>
          <w:numId w:val="2"/>
        </w:numPr>
        <w:spacing w:after="40" w:line="360"/>
      </w:pPr>
      <w:r>
        <w:t xml:space="preserve">Personas mayores de edad, residentes en el ámbito de referencia.</w:t>
      </w:r>
    </w:p>
    <w:p>
      <w:pPr>
        <w:pStyle w:val="ListParagraph"/>
        <w:numPr>
          <w:ilvl w:val="0"/>
          <w:numId w:val="2"/>
        </w:numPr>
        <w:spacing w:after="40" w:line="360"/>
      </w:pPr>
      <w:r>
        <w:t xml:space="preserve">Usuarios con acceso a un dispositivo con conexión a internet.</w:t>
      </w:r>
    </w:p>
    <w:p>
      <w:pPr>
        <w:pStyle w:val="ListParagraph"/>
        <w:numPr>
          <w:ilvl w:val="0"/>
          <w:numId w:val="2"/>
        </w:numPr>
        <w:spacing w:after="40" w:line="360"/>
      </w:pPr>
      <w:r>
        <w:t xml:space="preserve">Participación voluntaria con consentimiento informado.</w:t>
      </w:r>
    </w:p>
    <w:p>
      <w:pPr>
        <w:spacing w:after="0" w:line="360"/>
        <w:ind w:firstLine="720"/>
        <w:jc w:val="left"/>
      </w:pPr>
      <w:r>
        <w:rPr>
          <w:b/>
          <w:bCs/>
        </w:rPr>
        <w:t xml:space="preserve">Criterios de exclusión:</w:t>
      </w:r>
    </w:p>
    <w:p>
      <w:pPr>
        <w:pStyle w:val="ListParagraph"/>
        <w:numPr>
          <w:ilvl w:val="0"/>
          <w:numId w:val="2"/>
        </w:numPr>
        <w:spacing w:after="40" w:line="360"/>
      </w:pPr>
      <w:r>
        <w:t xml:space="preserve">Personas que no completen la totalidad de las tareas de la evaluación.</w:t>
      </w:r>
    </w:p>
    <w:p>
      <w:pPr>
        <w:pStyle w:val="ListParagraph"/>
        <w:numPr>
          <w:ilvl w:val="0"/>
          <w:numId w:val="2"/>
        </w:numPr>
        <w:spacing w:after="40" w:line="360"/>
      </w:pPr>
      <w:r>
        <w:t xml:space="preserve">Participantes que hayan intervenido en el desarrollo de la plataforma.</w:t>
      </w:r>
    </w:p>
    <w:p>
      <w:pPr>
        <w:pBdr>
          <w:left w:val="single" w:color="9CC3E0" w:sz="12" w:space="8"/>
        </w:pBdr>
        <w:spacing w:after="120" w:line="360"/>
        <w:ind w:left="720"/>
        <w:jc w:val="left"/>
      </w:pPr>
      <w:r>
        <w:rPr>
          <w:i/>
          <w:iCs/>
        </w:rPr>
        <w:t xml:space="preserve">La muestra se incorpora como </w:t>
      </w:r>
      <w:r>
        <w:rPr>
          <w:b/>
          <w:bCs/>
          <w:i/>
          <w:iCs/>
        </w:rPr>
        <w:t xml:space="preserve">diseño metodológico propuesto</w:t>
      </w:r>
      <w:r>
        <w:rPr>
          <w:i/>
          <w:iCs/>
        </w:rPr>
        <w:t xml:space="preserve"> que refuerza la validez del estudio; sus resultados son indicativos para esta fase inicial y no pretenden ser generalizables estadísticamente al universo de usuarios.</w:t>
      </w:r>
    </w:p>
    <w:p>
      <w:pPr>
        <w:pStyle w:val="Heading3"/>
        <w:spacing w:after="120" w:before="200" w:line="360"/>
      </w:pPr>
      <w:r>
        <w:t xml:space="preserve">3.5 Variables e indicadores</w:t>
      </w:r>
    </w:p>
    <w:p>
      <w:pPr>
        <w:pStyle w:val="Heading4"/>
        <w:spacing w:after="120" w:before="200" w:line="360"/>
      </w:pPr>
      <w:r>
        <w:t xml:space="preserve">3.5.1 Definición conceptual de las variables</w:t>
      </w:r>
    </w:p>
    <w:p>
      <w:pPr>
        <w:pStyle w:val="ListParagraph"/>
        <w:numPr>
          <w:ilvl w:val="0"/>
          <w:numId w:val="2"/>
        </w:numPr>
        <w:spacing w:after="40" w:line="360"/>
      </w:pPr>
      <w:r>
        <w:rPr>
          <w:b/>
          <w:bCs/>
        </w:rPr>
        <w:t xml:space="preserve">X1. Desarrollo del software (proceso).</w:t>
      </w:r>
      <w:r>
        <w:t xml:space="preserve"> Conjunto de fases de ingeniería (análisis, diseño e implementación) ejecutadas de manera sistemática para construir la plataforma.</w:t>
      </w:r>
    </w:p>
    <w:p>
      <w:pPr>
        <w:pStyle w:val="ListParagraph"/>
        <w:numPr>
          <w:ilvl w:val="0"/>
          <w:numId w:val="2"/>
        </w:numPr>
        <w:spacing w:after="40" w:line="360"/>
      </w:pPr>
      <w:r>
        <w:rPr>
          <w:b/>
          <w:bCs/>
        </w:rPr>
        <w:t xml:space="preserve">X2. Funcionamiento (producto).</w:t>
      </w:r>
      <w:r>
        <w:t xml:space="preserve"> Grado en que los módulos críticos del sistema operan correctamente y sin excepciones frente a los casos de prueba definidos.</w:t>
      </w:r>
    </w:p>
    <w:p>
      <w:pPr>
        <w:pStyle w:val="ListParagraph"/>
        <w:numPr>
          <w:ilvl w:val="0"/>
          <w:numId w:val="2"/>
        </w:numPr>
        <w:spacing w:after="40" w:line="360"/>
      </w:pPr>
      <w:r>
        <w:rPr>
          <w:b/>
          <w:bCs/>
        </w:rPr>
        <w:t xml:space="preserve">X3. Seguridad y protección de datos.</w:t>
      </w:r>
      <w:r>
        <w:t xml:space="preserve"> Grado de cumplimiento de los controles técnicos de seguridad de la información y de las obligaciones legales de protección de datos personales.</w:t>
      </w:r>
    </w:p>
    <w:p>
      <w:pPr>
        <w:pStyle w:val="ListParagraph"/>
        <w:numPr>
          <w:ilvl w:val="0"/>
          <w:numId w:val="2"/>
        </w:numPr>
        <w:spacing w:after="40" w:line="360"/>
      </w:pPr>
      <w:r>
        <w:rPr>
          <w:b/>
          <w:bCs/>
        </w:rPr>
        <w:t xml:space="preserve">X4. Usabilidad.</w:t>
      </w:r>
      <w:r>
        <w:t xml:space="preserve"> Facilidad con la que los usuarios logran sus objetivos al interactuar con la plataforma, en términos de eficacia, eficiencia y satisfacción.</w:t>
      </w:r>
    </w:p>
    <w:p>
      <w:pPr>
        <w:pStyle w:val="Heading4"/>
        <w:spacing w:after="120" w:before="200" w:line="360"/>
      </w:pPr>
      <w:r>
        <w:t xml:space="preserve">3.5.2 Definición operacional de las variables</w:t>
      </w:r>
    </w:p>
    <w:p>
      <w:pPr>
        <w:spacing w:after="0" w:line="360"/>
        <w:ind w:firstLine="720"/>
        <w:jc w:val="left"/>
      </w:pPr>
      <w:r>
        <w:t xml:space="preserve">La operacionalización traduce cada variable en dimensiones e indicadores medibles mediante instrumentos concretos:</w:t>
      </w:r>
    </w:p>
    <w:p>
      <w:pPr>
        <w:keepNext/>
        <w:spacing w:after="0" w:line="360"/>
        <w:jc w:val="left"/>
      </w:pPr>
      <w:r>
        <w:rPr>
          <w:b/>
          <w:bCs/>
        </w:rPr>
        <w:t xml:space="preserve">Tabla 2</w:t>
      </w:r>
    </w:p>
    <w:p>
      <w:pPr>
        <w:spacing w:after="0" w:line="360"/>
        <w:ind w:firstLine="720"/>
        <w:jc w:val="left"/>
      </w:pPr>
      <w:r>
        <w:rPr>
          <w:i/>
          <w:iCs/>
        </w:rPr>
        <w:t xml:space="preserve">Operacionalización de las variables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Variable</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Dimensión</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Indicadores</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Escala</w:t>
            </w:r>
          </w:p>
        </w:tc>
        <w:tc>
          <w:tcPr>
            <w:tcW w:type="dxa" w:w="180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Instrumento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X1 Desarrollo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Análisis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 de requisitos (RF/RNF); N.° de historias de usuario; N.° de actores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Razón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Diseño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 de diagramas (arquitectura, ER); N.° de ADR; controles de seguridad diseñados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Razón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Implementación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 de módulos implementados; cobertura de pruebas (%)</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Razón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X2 Funcionamiento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Operatividad de módulos críticos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de módulos que operan sin excepción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Razón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 pruebas</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X3 Seguridad y datos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Controles técnicos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de controles OWASP/ASVS implementados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Razón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Checklist de seguridad</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Cumplimiento legal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de obligaciones de la Ley 29733 cubiertas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Razón</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Checklist de seguridad</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X4 Usabilidad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Percepción del usuario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Puntaje promedio en la Escala SUS (0–100)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Intervalo</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Cuestionario SUS</w:t>
            </w:r>
          </w:p>
        </w:tc>
      </w:tr>
    </w:tbl>
    <w:p>
      <w:pPr>
        <w:spacing w:after="120"/>
      </w:pPr>
    </w:p>
    <w:p>
      <w:pPr>
        <w:pStyle w:val="Heading3"/>
        <w:spacing w:after="120" w:before="200" w:line="360"/>
      </w:pPr>
      <w:r>
        <w:t xml:space="preserve">3.6 Técnicas e instrumentos para el tratamiento de datos e información</w:t>
      </w:r>
    </w:p>
    <w:p>
      <w:pPr>
        <w:pStyle w:val="Heading4"/>
        <w:spacing w:after="120" w:before="200" w:line="360"/>
      </w:pPr>
      <w:r>
        <w:t xml:space="preserve">3.6.1 Técnicas para recolectar información</w:t>
      </w:r>
    </w:p>
    <w:p>
      <w:pPr>
        <w:pStyle w:val="ListParagraph"/>
        <w:numPr>
          <w:ilvl w:val="0"/>
          <w:numId w:val="2"/>
        </w:numPr>
        <w:spacing w:after="40" w:line="360"/>
      </w:pPr>
      <w:r>
        <w:rPr>
          <w:b/>
          <w:bCs/>
        </w:rPr>
        <w:t xml:space="preserve">Análisis documental:</w:t>
      </w:r>
      <w:r>
        <w:t xml:space="preserve"> revisión sistemática de los entregables de ingeniería (documento de requisitos, diagramas, ADR, código fuente y reportes de pruebas) para medir las variables X1 y X2.</w:t>
      </w:r>
    </w:p>
    <w:p>
      <w:pPr>
        <w:pStyle w:val="ListParagraph"/>
        <w:numPr>
          <w:ilvl w:val="0"/>
          <w:numId w:val="2"/>
        </w:numPr>
        <w:spacing w:after="40" w:line="360"/>
      </w:pPr>
      <w:r>
        <w:rPr>
          <w:b/>
          <w:bCs/>
        </w:rPr>
        <w:t xml:space="preserve">Observación estructurada:</w:t>
      </w:r>
      <w:r>
        <w:t xml:space="preserve"> verificación directa y guiada del cumplimiento de los controles de seguridad y protección de datos, para medir la variable X3.</w:t>
      </w:r>
    </w:p>
    <w:p>
      <w:pPr>
        <w:pStyle w:val="ListParagraph"/>
        <w:numPr>
          <w:ilvl w:val="0"/>
          <w:numId w:val="2"/>
        </w:numPr>
        <w:spacing w:after="40" w:line="360"/>
      </w:pPr>
      <w:r>
        <w:rPr>
          <w:b/>
          <w:bCs/>
        </w:rPr>
        <w:t xml:space="preserve">Encuesta:</w:t>
      </w:r>
      <w:r>
        <w:t xml:space="preserve"> aplicación de un cuestionario a la muestra piloto de usuarios para medir la percepción de usabilidad, variable X4.</w:t>
      </w:r>
    </w:p>
    <w:p>
      <w:pPr>
        <w:pStyle w:val="Heading4"/>
        <w:spacing w:after="120" w:before="200" w:line="360"/>
      </w:pPr>
      <w:r>
        <w:t xml:space="preserve">3.6.2 Instrumentos para recolectar información</w:t>
      </w:r>
    </w:p>
    <w:p>
      <w:pPr>
        <w:pStyle w:val="ListParagraph"/>
        <w:numPr>
          <w:ilvl w:val="0"/>
          <w:numId w:val="3"/>
        </w:numPr>
        <w:spacing w:after="40" w:line="360"/>
      </w:pPr>
      <w:r>
        <w:rPr>
          <w:b/>
          <w:bCs/>
        </w:rPr>
        <w:t xml:space="preserve">Ficha de análisis documental.</w:t>
      </w:r>
      <w:r>
        <w:t xml:space="preserve"> Instrumento estructurado que registra la existencia y la operatividad de los entregables de ingeniería y de los módulos del sistema. Mide X1 y X2.</w:t>
      </w:r>
    </w:p>
    <w:p>
      <w:pPr>
        <w:pStyle w:val="ListParagraph"/>
        <w:numPr>
          <w:ilvl w:val="0"/>
          <w:numId w:val="3"/>
        </w:numPr>
        <w:spacing w:after="40" w:line="360"/>
      </w:pPr>
      <w:r>
        <w:rPr>
          <w:b/>
          <w:bCs/>
        </w:rPr>
        <w:t xml:space="preserve">Checklist de seguridad y protección de datos.</w:t>
      </w:r>
      <w:r>
        <w:t xml:space="preserve"> Lista de verificación dicotómica (Cumple / No cumple / No aplica) construida sobre los controles de OWASP ASVS y las obligaciones de la Ley N.° 29733 y su reglamento. Mide X3.</w:t>
      </w:r>
    </w:p>
    <w:p>
      <w:pPr>
        <w:pStyle w:val="ListParagraph"/>
        <w:numPr>
          <w:ilvl w:val="0"/>
          <w:numId w:val="3"/>
        </w:numPr>
        <w:spacing w:after="40" w:line="360"/>
      </w:pPr>
      <w:r>
        <w:rPr>
          <w:b/>
          <w:bCs/>
        </w:rPr>
        <w:t xml:space="preserve">Cuestionario de usabilidad (Escala SUS).</w:t>
      </w:r>
      <w:r>
        <w:t xml:space="preserve"> Instrumento estandarizado de 10 ítems en escala Likert de cinco puntos. Mide X4.</w:t>
      </w:r>
    </w:p>
    <w:p>
      <w:pPr>
        <w:pStyle w:val="Heading4"/>
        <w:spacing w:after="120" w:before="200" w:line="360"/>
      </w:pPr>
      <w:r>
        <w:t xml:space="preserve">3.6.3 Validación y confiabilidad de los instrumentos</w:t>
      </w:r>
    </w:p>
    <w:p>
      <w:pPr>
        <w:spacing w:after="0" w:line="360"/>
        <w:ind w:firstLine="720"/>
        <w:jc w:val="left"/>
      </w:pPr>
      <w:r>
        <w:t xml:space="preserve">La credibilidad de los resultados exige que los instrumentos sean </w:t>
      </w:r>
      <w:r>
        <w:rPr>
          <w:b/>
          <w:bCs/>
        </w:rPr>
        <w:t xml:space="preserve">válidos</w:t>
      </w:r>
      <w:r>
        <w:t xml:space="preserve"> y </w:t>
      </w:r>
      <w:r>
        <w:rPr>
          <w:b/>
          <w:bCs/>
        </w:rPr>
        <w:t xml:space="preserve">confiables</w:t>
      </w:r>
      <w:r>
        <w:t xml:space="preserve">.</w:t>
      </w:r>
    </w:p>
    <w:p>
      <w:pPr>
        <w:spacing w:after="0" w:line="360"/>
        <w:ind w:firstLine="720"/>
        <w:jc w:val="left"/>
      </w:pPr>
      <w:r>
        <w:rPr>
          <w:b/>
          <w:bCs/>
        </w:rPr>
        <w:t xml:space="preserve">a) Validez de contenido — Juicio de expertos.</w:t>
      </w:r>
      <w:r>
        <w:t xml:space="preserve"> Todos los instrumentos se someten a la evaluación de un panel de </w:t>
      </w:r>
      <w:r>
        <w:rPr>
          <w:b/>
          <w:bCs/>
        </w:rPr>
        <w:t xml:space="preserve">mínimo tres expertos</w:t>
      </w:r>
      <w:r>
        <w:t xml:space="preserve"> (con grado de magíster o doctor en Ingeniería de Software, Seguridad de la Información o Protección de Datos), quienes califican cada ítem en tres criterios: </w:t>
      </w:r>
      <w:r>
        <w:rPr>
          <w:b/>
          <w:bCs/>
        </w:rPr>
        <w:t xml:space="preserve">claridad</w:t>
      </w:r>
      <w:r>
        <w:t xml:space="preserve">, </w:t>
      </w:r>
      <w:r>
        <w:rPr>
          <w:b/>
          <w:bCs/>
        </w:rPr>
        <w:t xml:space="preserve">coherencia</w:t>
      </w:r>
      <w:r>
        <w:t xml:space="preserve"> y </w:t>
      </w:r>
      <w:r>
        <w:rPr>
          <w:b/>
          <w:bCs/>
        </w:rPr>
        <w:t xml:space="preserve">relevancia</w:t>
      </w:r>
      <w:r>
        <w:t xml:space="preserve">. La concordancia entre los jueces se cuantifica mediante el </w:t>
      </w:r>
      <w:r>
        <w:rPr>
          <w:b/>
          <w:bCs/>
        </w:rPr>
        <w:t xml:space="preserve">Coeficiente V de Aiken</w:t>
      </w:r>
      <w:r>
        <w:t xml:space="preserve">, cuyo criterio de aceptación es </w:t>
      </w:r>
      <w:r>
        <w:rPr>
          <w:b/>
          <w:bCs/>
        </w:rPr>
        <w:t xml:space="preserve">V ≥ 0,80</w:t>
      </w:r>
      <w:r>
        <w:t xml:space="preserve"> por ítem y global. Su fórmula es:</w:t>
      </w:r>
    </w:p>
    <w:p>
      <w:pPr>
        <w:spacing w:after="0" w:line="240"/>
      </w:pPr>
      <w:r>
        <w:rPr>
          <w:rFonts w:ascii="Courier New" w:cs="Courier New" w:eastAsia="Courier New" w:hAnsi="Courier New"/>
          <w:sz w:val="16"/>
          <w:szCs w:val="16"/>
        </w:rPr>
        <w:t xml:space="preserve">          S</w:t>
      </w:r>
    </w:p>
    <w:p>
      <w:pPr>
        <w:spacing w:after="0" w:line="240"/>
      </w:pPr>
      <w:r>
        <w:rPr>
          <w:rFonts w:ascii="Courier New" w:cs="Courier New" w:eastAsia="Courier New" w:hAnsi="Courier New"/>
          <w:sz w:val="16"/>
          <w:szCs w:val="16"/>
        </w:rPr>
        <w:t xml:space="preserve">V = ───────────────</w:t>
      </w:r>
    </w:p>
    <w:p>
      <w:pPr>
        <w:spacing w:after="0" w:line="240"/>
      </w:pPr>
      <w:r>
        <w:rPr>
          <w:rFonts w:ascii="Courier New" w:cs="Courier New" w:eastAsia="Courier New" w:hAnsi="Courier New"/>
          <w:sz w:val="16"/>
          <w:szCs w:val="16"/>
        </w:rPr>
        <w:t xml:space="preserve">     n · (c − 1)</w:t>
      </w:r>
    </w:p>
    <w:p>
      <w:pPr>
        <w:spacing w:after="80"/>
      </w:pPr>
    </w:p>
    <w:p>
      <w:pPr>
        <w:spacing w:after="0" w:line="360"/>
        <w:ind w:firstLine="720"/>
        <w:jc w:val="left"/>
      </w:pPr>
      <w:r>
        <w:t xml:space="preserve">Donde </w:t>
      </w:r>
      <w:r>
        <w:rPr>
          <w:b/>
          <w:bCs/>
        </w:rPr>
        <w:t xml:space="preserve">S</w:t>
      </w:r>
      <w:r>
        <w:t xml:space="preserve"> es la sumatoria de las valoraciones de los jueces, </w:t>
      </w:r>
      <w:r>
        <w:rPr>
          <w:b/>
          <w:bCs/>
        </w:rPr>
        <w:t xml:space="preserve">n</w:t>
      </w:r>
      <w:r>
        <w:t xml:space="preserve"> el número de jueces y </w:t>
      </w:r>
      <w:r>
        <w:rPr>
          <w:b/>
          <w:bCs/>
        </w:rPr>
        <w:t xml:space="preserve">c</w:t>
      </w:r>
      <w:r>
        <w:t xml:space="preserve"> el número de valores de la escala. Los ítems con V &lt; 0,80 se corrigen o eliminan.</w:t>
      </w:r>
    </w:p>
    <w:p>
      <w:pPr>
        <w:spacing w:after="0" w:line="360"/>
        <w:ind w:firstLine="720"/>
        <w:jc w:val="left"/>
      </w:pPr>
      <w:r>
        <w:rPr>
          <w:b/>
          <w:bCs/>
        </w:rPr>
        <w:t xml:space="preserve">b) Confiabilidad — Alfa de Cronbach.</w:t>
      </w:r>
      <w:r>
        <w:t xml:space="preserve"> Para el cuestionario SUS (escala de percepción), se calcula el coeficiente </w:t>
      </w:r>
      <w:r>
        <w:rPr>
          <w:b/>
          <w:bCs/>
        </w:rPr>
        <w:t xml:space="preserve">Alfa de Cronbach</w:t>
      </w:r>
      <w:r>
        <w:t xml:space="preserve"> sobre una prueba piloto, con criterio de aceptación </w:t>
      </w:r>
      <w:r>
        <w:rPr>
          <w:b/>
          <w:bCs/>
        </w:rPr>
        <w:t xml:space="preserve">α ≥ 0,70</w:t>
      </w:r>
      <w:r>
        <w:t xml:space="preserve">. Su fórmula es:</w:t>
      </w:r>
    </w:p>
    <w:p>
      <w:pPr>
        <w:spacing w:after="0" w:line="240"/>
      </w:pPr>
      <w:r>
        <w:rPr>
          <w:rFonts w:ascii="Courier New" w:cs="Courier New" w:eastAsia="Courier New" w:hAnsi="Courier New"/>
          <w:sz w:val="16"/>
          <w:szCs w:val="16"/>
        </w:rPr>
        <w:t xml:space="preserve">        k        Σ Vi</w:t>
      </w:r>
    </w:p>
    <w:p>
      <w:pPr>
        <w:spacing w:after="0" w:line="240"/>
      </w:pPr>
      <w:r>
        <w:rPr>
          <w:rFonts w:ascii="Courier New" w:cs="Courier New" w:eastAsia="Courier New" w:hAnsi="Courier New"/>
          <w:sz w:val="16"/>
          <w:szCs w:val="16"/>
        </w:rPr>
        <w:t xml:space="preserve">α = ───────── · (1 − ─────)</w:t>
      </w:r>
    </w:p>
    <w:p>
      <w:pPr>
        <w:spacing w:after="0" w:line="240"/>
      </w:pPr>
      <w:r>
        <w:rPr>
          <w:rFonts w:ascii="Courier New" w:cs="Courier New" w:eastAsia="Courier New" w:hAnsi="Courier New"/>
          <w:sz w:val="16"/>
          <w:szCs w:val="16"/>
        </w:rPr>
        <w:t xml:space="preserve">      k − 1          Vt</w:t>
      </w:r>
    </w:p>
    <w:p>
      <w:pPr>
        <w:spacing w:after="80"/>
      </w:pPr>
    </w:p>
    <w:p>
      <w:pPr>
        <w:spacing w:after="0" w:line="360"/>
        <w:ind w:firstLine="720"/>
        <w:jc w:val="left"/>
      </w:pPr>
      <w:r>
        <w:t xml:space="preserve">Donde </w:t>
      </w:r>
      <w:r>
        <w:rPr>
          <w:b/>
          <w:bCs/>
        </w:rPr>
        <w:t xml:space="preserve">k</w:t>
      </w:r>
      <w:r>
        <w:t xml:space="preserve"> es el número de ítems, </w:t>
      </w:r>
      <w:r>
        <w:rPr>
          <w:b/>
          <w:bCs/>
        </w:rPr>
        <w:t xml:space="preserve">Vi</w:t>
      </w:r>
      <w:r>
        <w:t xml:space="preserve"> la varianza de cada ítem y </w:t>
      </w:r>
      <w:r>
        <w:rPr>
          <w:b/>
          <w:bCs/>
        </w:rPr>
        <w:t xml:space="preserve">Vt</w:t>
      </w:r>
      <w:r>
        <w:t xml:space="preserve"> la varianza total. Se adjuntan como anexos las constancias de validación firmadas por los expertos.</w:t>
      </w:r>
    </w:p>
    <w:p>
      <w:pPr>
        <w:pStyle w:val="Heading4"/>
        <w:spacing w:after="120" w:before="200" w:line="360"/>
      </w:pPr>
      <w:r>
        <w:t xml:space="preserve">3.6.4 Herramientas para el tratamiento de datos e información</w:t>
      </w:r>
    </w:p>
    <w:p>
      <w:pPr>
        <w:pStyle w:val="ListParagraph"/>
        <w:numPr>
          <w:ilvl w:val="0"/>
          <w:numId w:val="2"/>
        </w:numPr>
        <w:spacing w:after="40" w:line="360"/>
      </w:pPr>
      <w:r>
        <w:rPr>
          <w:b/>
          <w:bCs/>
        </w:rPr>
        <w:t xml:space="preserve">Desarrollo:</w:t>
      </w:r>
      <w:r>
        <w:t xml:space="preserve"> Visual Studio / Visual Studio Code, .NET 10, C# 14, SQL Server 2022, Entity Framework Core 10 y el sistema de control de versiones Git.</w:t>
      </w:r>
    </w:p>
    <w:p>
      <w:pPr>
        <w:pStyle w:val="ListParagraph"/>
        <w:numPr>
          <w:ilvl w:val="0"/>
          <w:numId w:val="2"/>
        </w:numPr>
        <w:spacing w:after="40" w:line="360"/>
      </w:pPr>
      <w:r>
        <w:rPr>
          <w:b/>
          <w:bCs/>
        </w:rPr>
        <w:t xml:space="preserve">Pruebas:</w:t>
      </w:r>
      <w:r>
        <w:t xml:space="preserve"> xUnit (framework de pruebas), Moq (simulación de dependencias), FluentAssertions (aserciones) y herramientas de reporte de cobertura.</w:t>
      </w:r>
    </w:p>
    <w:p>
      <w:pPr>
        <w:pStyle w:val="ListParagraph"/>
        <w:numPr>
          <w:ilvl w:val="0"/>
          <w:numId w:val="2"/>
        </w:numPr>
        <w:spacing w:after="40" w:line="360"/>
      </w:pPr>
      <w:r>
        <w:rPr>
          <w:b/>
          <w:bCs/>
        </w:rPr>
        <w:t xml:space="preserve">Gestión SDD:</w:t>
      </w:r>
      <w:r>
        <w:t xml:space="preserve"> GitHub Spec Kit, que produce los artefactos </w:t>
      </w:r>
      <w:r>
        <w:rPr>
          <w:rFonts w:ascii="Courier New" w:cs="Courier New" w:eastAsia="Courier New" w:hAnsi="Courier New"/>
        </w:rPr>
        <w:t xml:space="preserve">spec.md</w:t>
      </w:r>
      <w:r>
        <w:t xml:space="preserve">, </w:t>
      </w:r>
      <w:r>
        <w:rPr>
          <w:rFonts w:ascii="Courier New" w:cs="Courier New" w:eastAsia="Courier New" w:hAnsi="Courier New"/>
        </w:rPr>
        <w:t xml:space="preserve">plan.md</w:t>
      </w:r>
      <w:r>
        <w:t xml:space="preserve"> y </w:t>
      </w:r>
      <w:r>
        <w:rPr>
          <w:rFonts w:ascii="Courier New" w:cs="Courier New" w:eastAsia="Courier New" w:hAnsi="Courier New"/>
        </w:rPr>
        <w:t xml:space="preserve">tasks.md</w:t>
      </w:r>
      <w:r>
        <w:t xml:space="preserve">.</w:t>
      </w:r>
    </w:p>
    <w:p>
      <w:pPr>
        <w:pStyle w:val="ListParagraph"/>
        <w:numPr>
          <w:ilvl w:val="0"/>
          <w:numId w:val="2"/>
        </w:numPr>
        <w:spacing w:after="40" w:line="360"/>
      </w:pPr>
      <w:r>
        <w:rPr>
          <w:b/>
          <w:bCs/>
        </w:rPr>
        <w:t xml:space="preserve">Análisis de datos:</w:t>
      </w:r>
      <w:r>
        <w:t xml:space="preserve"> hojas de cálculo y software estadístico para el cómputo del Coeficiente V de Aiken, el Alfa de Cronbach y el puntaje SUS.</w:t>
      </w:r>
    </w:p>
    <w:p>
      <w:pPr>
        <w:pStyle w:val="Heading4"/>
        <w:spacing w:after="120" w:before="200" w:line="360"/>
      </w:pPr>
      <w:r>
        <w:t xml:space="preserve">3.6.5 Diseño estadístico</w:t>
      </w:r>
    </w:p>
    <w:p>
      <w:pPr>
        <w:spacing w:after="0" w:line="360"/>
        <w:ind w:firstLine="720"/>
        <w:jc w:val="left"/>
      </w:pPr>
      <w:r>
        <w:t xml:space="preserve">Se emplea </w:t>
      </w:r>
      <w:r>
        <w:rPr>
          <w:b/>
          <w:bCs/>
        </w:rPr>
        <w:t xml:space="preserve">estadística descriptiva</w:t>
      </w:r>
      <w:r>
        <w:t xml:space="preserve">. Los indicadores de cumplimiento de las variables X1, X2 y X3 se expresan mediante </w:t>
      </w:r>
      <w:r>
        <w:rPr>
          <w:b/>
          <w:bCs/>
        </w:rPr>
        <w:t xml:space="preserve">frecuencias absolutas y relativas (porcentajes)</w:t>
      </w:r>
      <w:r>
        <w:t xml:space="preserve">. La variable X4 (usabilidad) se resume mediante la </w:t>
      </w:r>
      <w:r>
        <w:rPr>
          <w:b/>
          <w:bCs/>
        </w:rPr>
        <w:t xml:space="preserve">media aritmética</w:t>
      </w:r>
      <w:r>
        <w:t xml:space="preserve"> y la </w:t>
      </w:r>
      <w:r>
        <w:rPr>
          <w:b/>
          <w:bCs/>
        </w:rPr>
        <w:t xml:space="preserve">desviación estándar</w:t>
      </w:r>
      <w:r>
        <w:t xml:space="preserve"> del puntaje SUS. La validación de los instrumentos utiliza el Coeficiente V de Aiken y el Alfa de Cronbach.</w:t>
      </w:r>
    </w:p>
    <w:p>
      <w:pPr>
        <w:pStyle w:val="Heading4"/>
        <w:spacing w:after="120" w:before="200" w:line="360"/>
      </w:pPr>
      <w:r>
        <w:t xml:space="preserve">3.6.6 Análisis e interpretación de datos</w:t>
      </w:r>
    </w:p>
    <w:p>
      <w:pPr>
        <w:pStyle w:val="ListParagraph"/>
        <w:numPr>
          <w:ilvl w:val="0"/>
          <w:numId w:val="2"/>
        </w:numPr>
        <w:spacing w:after="40" w:line="360"/>
      </w:pPr>
      <w:r>
        <w:t xml:space="preserve">Los </w:t>
      </w:r>
      <w:r>
        <w:rPr>
          <w:b/>
          <w:bCs/>
        </w:rPr>
        <w:t xml:space="preserve">porcentajes de cumplimiento</w:t>
      </w:r>
      <w:r>
        <w:t xml:space="preserve"> (X1, X2, X3) se interpretan frente a las metas definidas en los requisitos no funcionales; por ejemplo, se espera una cobertura de pruebas ≥ 80 % y un cumplimiento de módulos críticos del 100 %.</w:t>
      </w:r>
    </w:p>
    <w:p>
      <w:pPr>
        <w:pStyle w:val="ListParagraph"/>
        <w:numPr>
          <w:ilvl w:val="0"/>
          <w:numId w:val="2"/>
        </w:numPr>
        <w:spacing w:after="40" w:line="360"/>
      </w:pPr>
      <w:r>
        <w:t xml:space="preserve">El </w:t>
      </w:r>
      <w:r>
        <w:rPr>
          <w:b/>
          <w:bCs/>
        </w:rPr>
        <w:t xml:space="preserve">puntaje SUS</w:t>
      </w:r>
      <w:r>
        <w:t xml:space="preserve"> (X4) se interpreta según la escala de referencia: un puntaje </w:t>
      </w:r>
      <w:r>
        <w:rPr>
          <w:b/>
          <w:bCs/>
        </w:rPr>
        <w:t xml:space="preserve">superior a 80,3</w:t>
      </w:r>
      <w:r>
        <w:t xml:space="preserve"> corresponde a una usabilidad "excelente"; entre </w:t>
      </w:r>
      <w:r>
        <w:rPr>
          <w:b/>
          <w:bCs/>
        </w:rPr>
        <w:t xml:space="preserve">68 y 80,3</w:t>
      </w:r>
      <w:r>
        <w:t xml:space="preserve">, "buena"; alrededor de </w:t>
      </w:r>
      <w:r>
        <w:rPr>
          <w:b/>
          <w:bCs/>
        </w:rPr>
        <w:t xml:space="preserve">68</w:t>
      </w:r>
      <w:r>
        <w:t xml:space="preserve">, "promedio"; e </w:t>
      </w:r>
      <w:r>
        <w:rPr>
          <w:b/>
          <w:bCs/>
        </w:rPr>
        <w:t xml:space="preserve">inferior a 68</w:t>
      </w:r>
      <w:r>
        <w:t xml:space="preserve">, "por debajo del promedio".</w:t>
      </w:r>
    </w:p>
    <w:p>
      <w:pPr>
        <w:pStyle w:val="ListParagraph"/>
        <w:numPr>
          <w:ilvl w:val="0"/>
          <w:numId w:val="2"/>
        </w:numPr>
        <w:spacing w:after="40" w:line="360"/>
      </w:pPr>
      <w:r>
        <w:t xml:space="preserve">La </w:t>
      </w:r>
      <w:r>
        <w:rPr>
          <w:b/>
          <w:bCs/>
        </w:rPr>
        <w:t xml:space="preserve">V de Aiken</w:t>
      </w:r>
      <w:r>
        <w:t xml:space="preserve"> y el </w:t>
      </w:r>
      <w:r>
        <w:rPr>
          <w:b/>
          <w:bCs/>
        </w:rPr>
        <w:t xml:space="preserve">Alfa de Cronbach</w:t>
      </w:r>
      <w:r>
        <w:t xml:space="preserve"> se contrastan con sus umbrales de aceptación (0,80 y 0,70, respectivamente).</w:t>
      </w:r>
    </w:p>
    <w:p>
      <w:pPr>
        <w:pStyle w:val="Heading4"/>
        <w:spacing w:after="120" w:before="200" w:line="360"/>
      </w:pPr>
      <w:r>
        <w:t xml:space="preserve">3.6.7 Aspectos éticos</w:t>
      </w:r>
    </w:p>
    <w:p>
      <w:pPr>
        <w:spacing w:after="0" w:line="360"/>
        <w:ind w:firstLine="720"/>
        <w:jc w:val="left"/>
      </w:pPr>
      <w:r>
        <w:t xml:space="preserve">Dado que el proyecto trata datos personales y aplica instrumentos a personas, se observan los siguientes principios éticos: la </w:t>
      </w:r>
      <w:r>
        <w:rPr>
          <w:b/>
          <w:bCs/>
        </w:rPr>
        <w:t xml:space="preserve">participación voluntaria</w:t>
      </w:r>
      <w:r>
        <w:t xml:space="preserve"> con </w:t>
      </w:r>
      <w:r>
        <w:rPr>
          <w:b/>
          <w:bCs/>
        </w:rPr>
        <w:t xml:space="preserve">consentimiento informado</w:t>
      </w:r>
      <w:r>
        <w:t xml:space="preserve"> de los usuarios de la muestra; la </w:t>
      </w:r>
      <w:r>
        <w:rPr>
          <w:b/>
          <w:bCs/>
        </w:rPr>
        <w:t xml:space="preserve">confidencialidad</w:t>
      </w:r>
      <w:r>
        <w:t xml:space="preserve"> y el </w:t>
      </w:r>
      <w:r>
        <w:rPr>
          <w:b/>
          <w:bCs/>
        </w:rPr>
        <w:t xml:space="preserve">anonimato</w:t>
      </w:r>
      <w:r>
        <w:t xml:space="preserve"> de sus respuestas; el uso de los datos </w:t>
      </w:r>
      <w:r>
        <w:rPr>
          <w:b/>
          <w:bCs/>
        </w:rPr>
        <w:t xml:space="preserve">exclusivamente</w:t>
      </w:r>
      <w:r>
        <w:t xml:space="preserve"> para los fines de la investigación; y el cumplimiento de la Ley N.° 29733 en todo el tratamiento de datos, incluyendo el uso de datos anonimizados o sintéticos en los entornos de prueba.</w:t>
      </w:r>
    </w:p>
    <w:p>
      <w:pPr>
        <w:pStyle w:val="Heading3"/>
        <w:spacing w:after="120" w:before="200" w:line="360"/>
      </w:pPr>
      <w:r>
        <w:t xml:space="preserve">3.7 Técnicas para aplicar el marco de trabajo (SDD + Scrum + XP)</w:t>
      </w:r>
    </w:p>
    <w:p>
      <w:pPr>
        <w:spacing w:after="0" w:line="360"/>
        <w:ind w:firstLine="720"/>
        <w:jc w:val="left"/>
      </w:pPr>
      <w:r>
        <w:t xml:space="preserve">El desarrollo integra tres metodologías complementarias que se articulan en un flujo coherente: *</w:t>
      </w:r>
      <w:r>
        <w:rPr>
          <w:i/>
          <w:iCs/>
        </w:rPr>
        <w:t xml:space="preserve">SDD define y traza el </w:t>
      </w:r>
      <w:r>
        <w:t xml:space="preserve">qué</w:t>
      </w:r>
      <w:r>
        <w:rPr>
          <w:i/>
          <w:iCs/>
        </w:rPr>
        <w:t xml:space="preserve">, Scrum gestiona el </w:t>
      </w:r>
      <w:r>
        <w:t xml:space="preserve">cuándo</w:t>
      </w:r>
      <w:r>
        <w:rPr>
          <w:i/>
          <w:iCs/>
        </w:rPr>
        <w:t xml:space="preserve"> y el ritmo, y XP asegura el </w:t>
      </w:r>
      <w:r>
        <w:t xml:space="preserve">cómo</w:t>
      </w:r>
      <w:r>
        <w:rPr>
          <w:i/>
          <w:iCs/>
        </w:rPr>
        <w:t xml:space="preserve"> técnico.</w:t>
      </w:r>
      <w:r>
        <w:t xml:space="preserve">*</w:t>
      </w:r>
    </w:p>
    <w:p>
      <w:pPr>
        <w:pStyle w:val="Heading4"/>
        <w:spacing w:after="120" w:before="200" w:line="360"/>
      </w:pPr>
      <w:r>
        <w:t xml:space="preserve">3.7.1 Spec-Driven Development (SDD) — núcleo metodológico</w:t>
      </w:r>
    </w:p>
    <w:p>
      <w:pPr>
        <w:spacing w:after="0" w:line="360"/>
        <w:ind w:firstLine="720"/>
        <w:jc w:val="left"/>
      </w:pPr>
      <w:r>
        <w:t xml:space="preserve">Cada funcionalidad recorre el ciclo de cuatro etapas de SDD antes de considerarse terminada:</w:t>
      </w:r>
    </w:p>
    <w:p>
      <w:pPr>
        <w:pStyle w:val="ListParagraph"/>
        <w:numPr>
          <w:ilvl w:val="0"/>
          <w:numId w:val="3"/>
        </w:numPr>
        <w:spacing w:after="40" w:line="360"/>
      </w:pPr>
      <w:r>
        <w:rPr>
          <w:b/>
          <w:bCs/>
        </w:rPr>
        <w:t xml:space="preserve">`/specify` (Especificar):</w:t>
      </w:r>
      <w:r>
        <w:t xml:space="preserve"> se describe la necesidad en lenguaje de negocio —actores, criterios de aceptación y reglas— sin decisiones técnicas. Se genera el artefacto </w:t>
      </w:r>
      <w:r>
        <w:rPr>
          <w:rFonts w:ascii="Courier New" w:cs="Courier New" w:eastAsia="Courier New" w:hAnsi="Courier New"/>
        </w:rPr>
        <w:t xml:space="preserve">spec.md</w:t>
      </w:r>
      <w:r>
        <w:t xml:space="preserve">.</w:t>
      </w:r>
    </w:p>
    <w:p>
      <w:pPr>
        <w:pStyle w:val="ListParagraph"/>
        <w:numPr>
          <w:ilvl w:val="0"/>
          <w:numId w:val="3"/>
        </w:numPr>
        <w:spacing w:after="40" w:line="360"/>
      </w:pPr>
      <w:r>
        <w:rPr>
          <w:b/>
          <w:bCs/>
        </w:rPr>
        <w:t xml:space="preserve">`/plan` (Planificar):</w:t>
      </w:r>
      <w:r>
        <w:t xml:space="preserve"> se traduce la especificación a un diseño técnico —entidades afectadas, endpoints, esquema de base de datos e impacto en seguridad—. Se genera </w:t>
      </w:r>
      <w:r>
        <w:rPr>
          <w:rFonts w:ascii="Courier New" w:cs="Courier New" w:eastAsia="Courier New" w:hAnsi="Courier New"/>
        </w:rPr>
        <w:t xml:space="preserve">plan.md</w:t>
      </w:r>
      <w:r>
        <w:t xml:space="preserve">.</w:t>
      </w:r>
    </w:p>
    <w:p>
      <w:pPr>
        <w:pStyle w:val="ListParagraph"/>
        <w:numPr>
          <w:ilvl w:val="0"/>
          <w:numId w:val="3"/>
        </w:numPr>
        <w:spacing w:after="40" w:line="360"/>
      </w:pPr>
      <w:r>
        <w:rPr>
          <w:b/>
          <w:bCs/>
        </w:rPr>
        <w:t xml:space="preserve">`/tasks` (Descomponer):</w:t>
      </w:r>
      <w:r>
        <w:t xml:space="preserve"> se divide el plan en tareas pequeñas, atómicas y verificables. Se genera </w:t>
      </w:r>
      <w:r>
        <w:rPr>
          <w:rFonts w:ascii="Courier New" w:cs="Courier New" w:eastAsia="Courier New" w:hAnsi="Courier New"/>
        </w:rPr>
        <w:t xml:space="preserve">tasks.md</w:t>
      </w:r>
      <w:r>
        <w:t xml:space="preserve">.</w:t>
      </w:r>
    </w:p>
    <w:p>
      <w:pPr>
        <w:pStyle w:val="ListParagraph"/>
        <w:numPr>
          <w:ilvl w:val="0"/>
          <w:numId w:val="3"/>
        </w:numPr>
        <w:spacing w:after="40" w:line="360"/>
      </w:pPr>
      <w:r>
        <w:rPr>
          <w:b/>
          <w:bCs/>
        </w:rPr>
        <w:t xml:space="preserve">`/implement` (Implementar):</w:t>
      </w:r>
      <w:r>
        <w:t xml:space="preserve"> se codifica tarea por tarea, cada una acompañada de sus pruebas.</w:t>
      </w:r>
    </w:p>
    <w:p>
      <w:pPr>
        <w:spacing w:after="0" w:line="360"/>
        <w:ind w:firstLine="720"/>
        <w:jc w:val="left"/>
      </w:pPr>
      <w:r>
        <w:t xml:space="preserve">De este modo, </w:t>
      </w:r>
      <w:r>
        <w:rPr>
          <w:b/>
          <w:bCs/>
        </w:rPr>
        <w:t xml:space="preserve">ninguna línea de código se escribe sin una especificación previa</w:t>
      </w:r>
      <w:r>
        <w:t xml:space="preserve">, lo que garantiza la trazabilidad requisito → diseño → código y produce documentación viva que sirve de evidencia del proceso.</w:t>
      </w:r>
    </w:p>
    <w:p>
      <w:pPr>
        <w:keepNext/>
        <w:spacing w:after="0" w:line="360"/>
        <w:jc w:val="left"/>
      </w:pPr>
      <w:r>
        <w:rPr>
          <w:b/>
          <w:bCs/>
        </w:rPr>
        <w:t xml:space="preserve">Figura 2</w:t>
      </w:r>
    </w:p>
    <w:p>
      <w:pPr>
        <w:spacing w:after="0" w:line="360"/>
        <w:ind w:firstLine="720"/>
        <w:jc w:val="left"/>
      </w:pPr>
      <w:r>
        <w:rPr>
          <w:i/>
          <w:iCs/>
        </w:rPr>
        <w:t xml:space="preserve">Ciclo de cuatro etapas del Spec-Driven Development (GitHub Spec Kit)</w:t>
      </w:r>
    </w:p>
    <w:p>
      <w:pPr>
        <w:spacing w:after="80" w:line="240"/>
        <w:jc w:val="center"/>
      </w:pPr>
      <w:r>
        <w:drawing>
          <wp:inline distT="0" distB="0" distL="0" distR="0">
            <wp:extent cx="5334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09775"/>
                    </a:xfrm>
                    <a:prstGeom prst="rect">
                      <a:avLst/>
                    </a:prstGeom>
                  </pic:spPr>
                </pic:pic>
              </a:graphicData>
            </a:graphic>
          </wp:inline>
        </w:drawing>
      </w:r>
    </w:p>
    <w:p>
      <w:pPr>
        <w:keepNext/>
        <w:spacing w:after="0" w:line="360"/>
        <w:jc w:val="left"/>
      </w:pPr>
      <w:r>
        <w:rPr>
          <w:i/>
          <w:iCs/>
        </w:rPr>
        <w:t xml:space="preserve">Nota.</w:t>
      </w:r>
      <w:r>
        <w:t xml:space="preserve"> Elaboración propia con base en el flujo de GitHub Spec Kit.</w:t>
      </w:r>
    </w:p>
    <w:p>
      <w:pPr>
        <w:pStyle w:val="Heading4"/>
        <w:spacing w:after="120" w:before="200" w:line="360"/>
      </w:pPr>
      <w:r>
        <w:t xml:space="preserve">3.7.2 Scrum — gestión iterativa</w:t>
      </w:r>
    </w:p>
    <w:p>
      <w:pPr>
        <w:spacing w:after="0" w:line="360"/>
        <w:ind w:firstLine="720"/>
        <w:jc w:val="left"/>
      </w:pPr>
      <w:r>
        <w:t xml:space="preserve">El trabajo se organiza en </w:t>
      </w:r>
      <w:r>
        <w:rPr>
          <w:b/>
          <w:bCs/>
        </w:rPr>
        <w:t xml:space="preserve">sprints</w:t>
      </w:r>
      <w:r>
        <w:t xml:space="preserve"> con la siguiente estructura:</w:t>
      </w:r>
    </w:p>
    <w:p>
      <w:pPr>
        <w:pStyle w:val="ListParagraph"/>
        <w:numPr>
          <w:ilvl w:val="0"/>
          <w:numId w:val="2"/>
        </w:numPr>
        <w:spacing w:after="40" w:line="360"/>
      </w:pPr>
      <w:r>
        <w:rPr>
          <w:b/>
          <w:bCs/>
        </w:rPr>
        <w:t xml:space="preserve">Product Backlog:</w:t>
      </w:r>
      <w:r>
        <w:t xml:space="preserve"> lista priorizada de historias de usuario derivadas de los requisitos funcionales (ver Anexo de historias de usuario).</w:t>
      </w:r>
    </w:p>
    <w:p>
      <w:pPr>
        <w:pStyle w:val="ListParagraph"/>
        <w:numPr>
          <w:ilvl w:val="0"/>
          <w:numId w:val="2"/>
        </w:numPr>
        <w:spacing w:after="40" w:line="360"/>
      </w:pPr>
      <w:r>
        <w:rPr>
          <w:b/>
          <w:bCs/>
        </w:rPr>
        <w:t xml:space="preserve">Sprint Planning:</w:t>
      </w:r>
      <w:r>
        <w:t xml:space="preserve"> al inicio de cada sprint se selecciona el conjunto de historias a desarrollar, conformando el Sprint Backlog.</w:t>
      </w:r>
    </w:p>
    <w:p>
      <w:pPr>
        <w:pStyle w:val="ListParagraph"/>
        <w:numPr>
          <w:ilvl w:val="0"/>
          <w:numId w:val="2"/>
        </w:numPr>
        <w:spacing w:after="40" w:line="360"/>
      </w:pPr>
      <w:r>
        <w:rPr>
          <w:b/>
          <w:bCs/>
        </w:rPr>
        <w:t xml:space="preserve">Daily Scrum:</w:t>
      </w:r>
      <w:r>
        <w:t xml:space="preserve"> seguimiento breve y frecuente del avance y los impedimentos.</w:t>
      </w:r>
    </w:p>
    <w:p>
      <w:pPr>
        <w:pStyle w:val="ListParagraph"/>
        <w:numPr>
          <w:ilvl w:val="0"/>
          <w:numId w:val="2"/>
        </w:numPr>
        <w:spacing w:after="40" w:line="360"/>
      </w:pPr>
      <w:r>
        <w:rPr>
          <w:b/>
          <w:bCs/>
        </w:rPr>
        <w:t xml:space="preserve">Sprint Review:</w:t>
      </w:r>
      <w:r>
        <w:t xml:space="preserve"> al final de cada sprint se presenta el incremento funcional.</w:t>
      </w:r>
    </w:p>
    <w:p>
      <w:pPr>
        <w:pStyle w:val="ListParagraph"/>
        <w:numPr>
          <w:ilvl w:val="0"/>
          <w:numId w:val="2"/>
        </w:numPr>
        <w:spacing w:after="40" w:line="360"/>
      </w:pPr>
      <w:r>
        <w:rPr>
          <w:b/>
          <w:bCs/>
        </w:rPr>
        <w:t xml:space="preserve">Sprint Retrospective:</w:t>
      </w:r>
      <w:r>
        <w:t xml:space="preserve"> se reflexiona sobre el proceso para mejorar en el siguiente ciclo.</w:t>
      </w:r>
    </w:p>
    <w:p>
      <w:pPr>
        <w:keepNext/>
        <w:spacing w:after="0" w:line="360"/>
        <w:jc w:val="left"/>
      </w:pPr>
      <w:r>
        <w:rPr>
          <w:b/>
          <w:bCs/>
        </w:rPr>
        <w:t xml:space="preserve">Tabla 3</w:t>
      </w:r>
    </w:p>
    <w:p>
      <w:pPr>
        <w:spacing w:after="0" w:line="360"/>
        <w:ind w:firstLine="720"/>
        <w:jc w:val="left"/>
      </w:pPr>
      <w:r>
        <w:rPr>
          <w:i/>
          <w:iCs/>
        </w:rPr>
        <w:t xml:space="preserve">Planificación referencial de sprints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Sprint</w:t>
            </w:r>
          </w:p>
        </w:tc>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Objetivo</w:t>
            </w:r>
          </w:p>
        </w:tc>
        <w:tc>
          <w:tcPr>
            <w:tcW w:type="dxa" w:w="3010"/>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Módulos / historias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Sprint 1</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Cimientos y seguridad</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Gestión de identidad y acceso (registro, login JWT, RBAC)</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Sprint 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Configuración del TUPA</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Tipos de trámite, requisitos y flujos de aprobación</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Sprint 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Ciclo del trámite</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Inicio, documentos, máquina de estados, subsanación</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Sprint 4</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Pagos y notificaciones</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Cálculo de tasa, pago, seguimiento y correo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Sprint 5</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Protección de datos y auditoría</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 derechos ARCO, incidentes, auditoría</w:t>
            </w:r>
          </w:p>
        </w:tc>
      </w:tr>
    </w:tbl>
    <w:p>
      <w:pPr>
        <w:spacing w:after="120"/>
      </w:pPr>
    </w:p>
    <w:p>
      <w:pPr>
        <w:pStyle w:val="Heading4"/>
        <w:spacing w:after="120" w:before="200" w:line="360"/>
      </w:pPr>
      <w:r>
        <w:t xml:space="preserve">3.7.3 Extreme Programming (XP) — calidad de código</w:t>
      </w:r>
    </w:p>
    <w:p>
      <w:pPr>
        <w:spacing w:after="0" w:line="360"/>
        <w:ind w:firstLine="720"/>
        <w:jc w:val="left"/>
      </w:pPr>
      <w:r>
        <w:t xml:space="preserve">Durante la implementación se aplican las prácticas de ingeniería de XP:</w:t>
      </w:r>
    </w:p>
    <w:p>
      <w:pPr>
        <w:pStyle w:val="ListParagraph"/>
        <w:numPr>
          <w:ilvl w:val="0"/>
          <w:numId w:val="2"/>
        </w:numPr>
        <w:spacing w:after="40" w:line="360"/>
      </w:pPr>
      <w:r>
        <w:rPr>
          <w:b/>
          <w:bCs/>
        </w:rPr>
        <w:t xml:space="preserve">Desarrollo guiado por pruebas (TDD):</w:t>
      </w:r>
      <w:r>
        <w:t xml:space="preserve"> se escriben primero las pruebas y luego el código que las satisface.</w:t>
      </w:r>
    </w:p>
    <w:p>
      <w:pPr>
        <w:pStyle w:val="ListParagraph"/>
        <w:numPr>
          <w:ilvl w:val="0"/>
          <w:numId w:val="2"/>
        </w:numPr>
        <w:spacing w:after="40" w:line="360"/>
      </w:pPr>
      <w:r>
        <w:rPr>
          <w:b/>
          <w:bCs/>
        </w:rPr>
        <w:t xml:space="preserve">Integración continua:</w:t>
      </w:r>
      <w:r>
        <w:t xml:space="preserve"> cada cambio se integra y verifica automáticamente mediante el pipeline de CI, que ejecuta la compilación, las pruebas y el análisis estático.</w:t>
      </w:r>
    </w:p>
    <w:p>
      <w:pPr>
        <w:pStyle w:val="ListParagraph"/>
        <w:numPr>
          <w:ilvl w:val="0"/>
          <w:numId w:val="2"/>
        </w:numPr>
        <w:spacing w:after="40" w:line="360"/>
      </w:pPr>
      <w:r>
        <w:rPr>
          <w:b/>
          <w:bCs/>
        </w:rPr>
        <w:t xml:space="preserve">Diseño simple y refactorización:</w:t>
      </w:r>
      <w:r>
        <w:t xml:space="preserve"> se mantiene el código lo más simple posible y se mejora continuamente sin alterar su comportamiento.</w:t>
      </w:r>
    </w:p>
    <w:p>
      <w:pPr>
        <w:pStyle w:val="ListParagraph"/>
        <w:numPr>
          <w:ilvl w:val="0"/>
          <w:numId w:val="2"/>
        </w:numPr>
        <w:spacing w:after="40" w:line="360"/>
      </w:pPr>
      <w:r>
        <w:rPr>
          <w:b/>
          <w:bCs/>
        </w:rPr>
        <w:t xml:space="preserve">Estándares de codificación:</w:t>
      </w:r>
      <w:r>
        <w:t xml:space="preserve"> se respetan las convenciones definidas para el proyecto, asegurando un código homogéneo y legible.</w:t>
      </w:r>
    </w:p>
    <w:p>
      <w:pPr>
        <w:spacing w:after="0" w:line="360"/>
        <w:ind w:firstLine="720"/>
        <w:jc w:val="left"/>
      </w:pPr>
      <w:r>
        <w:t xml:space="preserve">La articulación de las tres metodologías se materializa en el flujo de trabajo del proyecto (estrategia de ramas, pull requests con revisión e integración continua), documentado en los artefactos de ingeniería.</w:t>
      </w:r>
    </w:p>
    <w:p>
      <w:pPr>
        <w:pageBreakBefore/>
      </w:pPr>
    </w:p>
    <w:p>
      <w:pPr>
        <w:pStyle w:val="Heading1"/>
        <w:spacing w:after="120" w:before="200" w:line="360"/>
      </w:pPr>
      <w:r>
        <w:t xml:space="preserve">Capítulo IV</w:t>
      </w:r>
    </w:p>
    <w:p>
      <w:pPr>
        <w:pStyle w:val="Heading2"/>
        <w:spacing w:after="120" w:before="200" w:line="360"/>
      </w:pPr>
      <w:r>
        <w:t xml:space="preserve">Resultados y Discusión</w:t>
      </w:r>
    </w:p>
    <w:p>
      <w:pPr>
        <w:pBdr>
          <w:left w:val="single" w:color="9CC3E0" w:sz="12" w:space="8"/>
        </w:pBdr>
        <w:spacing w:after="120" w:line="360"/>
        <w:ind w:left="720"/>
        <w:jc w:val="left"/>
      </w:pPr>
      <w:r>
        <w:rPr>
          <w:b/>
          <w:bCs/>
          <w:i/>
          <w:iCs/>
        </w:rPr>
        <w:t xml:space="preserve">Nota metodológica.</w:t>
      </w:r>
      <w:r>
        <w:rPr>
          <w:i/>
          <w:iCs/>
        </w:rPr>
        <w:t xml:space="preserve"> Los resultados de las fases de </w:t>
      </w:r>
      <w:r>
        <w:rPr>
          <w:b/>
          <w:bCs/>
          <w:i/>
          <w:iCs/>
        </w:rPr>
        <w:t xml:space="preserve">análisis</w:t>
      </w:r>
      <w:r>
        <w:rPr>
          <w:i/>
          <w:iCs/>
        </w:rPr>
        <w:t xml:space="preserve"> y </w:t>
      </w:r>
      <w:r>
        <w:rPr>
          <w:b/>
          <w:bCs/>
          <w:i/>
          <w:iCs/>
        </w:rPr>
        <w:t xml:space="preserve">diseño</w:t>
      </w:r>
      <w:r>
        <w:rPr>
          <w:i/>
          <w:iCs/>
        </w:rPr>
        <w:t xml:space="preserve"> (variable X1) se reportan como productos concluidos, pues son entregables ya elaborados. Los resultados de </w:t>
      </w:r>
      <w:r>
        <w:rPr>
          <w:b/>
          <w:bCs/>
          <w:i/>
          <w:iCs/>
        </w:rPr>
        <w:t xml:space="preserve">implementación</w:t>
      </w:r>
      <w:r>
        <w:rPr>
          <w:i/>
          <w:iCs/>
        </w:rPr>
        <w:t xml:space="preserve"> (X1), </w:t>
      </w:r>
      <w:r>
        <w:rPr>
          <w:b/>
          <w:bCs/>
          <w:i/>
          <w:iCs/>
        </w:rPr>
        <w:t xml:space="preserve">funcionamiento</w:t>
      </w:r>
      <w:r>
        <w:rPr>
          <w:i/>
          <w:iCs/>
        </w:rPr>
        <w:t xml:space="preserve"> (X2), </w:t>
      </w:r>
      <w:r>
        <w:rPr>
          <w:b/>
          <w:bCs/>
          <w:i/>
          <w:iCs/>
        </w:rPr>
        <w:t xml:space="preserve">seguridad</w:t>
      </w:r>
      <w:r>
        <w:rPr>
          <w:i/>
          <w:iCs/>
        </w:rPr>
        <w:t xml:space="preserve"> (X3) y </w:t>
      </w:r>
      <w:r>
        <w:rPr>
          <w:b/>
          <w:bCs/>
          <w:i/>
          <w:iCs/>
        </w:rPr>
        <w:t xml:space="preserve">usabilidad</w:t>
      </w:r>
      <w:r>
        <w:rPr>
          <w:i/>
          <w:iCs/>
        </w:rPr>
        <w:t xml:space="preserve"> (X4) se presentan con su </w:t>
      </w:r>
      <w:r>
        <w:rPr>
          <w:b/>
          <w:bCs/>
          <w:i/>
          <w:iCs/>
        </w:rPr>
        <w:t xml:space="preserve">formato de medición e indicadores objetivo</w:t>
      </w:r>
      <w:r>
        <w:rPr>
          <w:i/>
          <w:iCs/>
        </w:rPr>
        <w:t xml:space="preserve">; las celdas marcadas como _[a completar]_ se consignan con los valores medidos una vez ejecutada la fase de construcción y aplicados los instrumentos. Este proceder preserva la honestidad metodológica: no se reporta ningún dato que no haya sido efectivamente producido o medido.</w:t>
      </w:r>
    </w:p>
    <w:p>
      <w:pPr>
        <w:pStyle w:val="Heading3"/>
        <w:spacing w:after="120" w:before="200" w:line="360"/>
      </w:pPr>
      <w:r>
        <w:t xml:space="preserve">4.1 Resultados de la investigación</w:t>
      </w:r>
    </w:p>
    <w:p>
      <w:pPr>
        <w:spacing w:after="0" w:line="360"/>
        <w:ind w:firstLine="720"/>
        <w:jc w:val="left"/>
      </w:pPr>
      <w:r>
        <w:t xml:space="preserve">Los resultados se presentan siguiendo el orden de los objetivos específicos, lo que preserva la coherencia lógica del estudio y facilita la contrastación de cada resultado con su objetivo.</w:t>
      </w:r>
    </w:p>
    <w:p>
      <w:pPr>
        <w:pStyle w:val="Heading4"/>
        <w:spacing w:after="120" w:before="200" w:line="360"/>
      </w:pPr>
      <w:r>
        <w:t xml:space="preserve">4.1.1 Resultados de la fase de análisis (Variable X1)</w:t>
      </w:r>
    </w:p>
    <w:p>
      <w:pPr>
        <w:spacing w:after="0" w:line="360"/>
        <w:ind w:firstLine="720"/>
        <w:jc w:val="left"/>
      </w:pPr>
      <w:r>
        <w:t xml:space="preserve">La fase de análisis, orientada al objetivo específico OE1, produjo la especificación completa de los actores y los requisitos del sistema.</w:t>
      </w:r>
    </w:p>
    <w:p>
      <w:pPr>
        <w:spacing w:after="0" w:line="360"/>
        <w:ind w:firstLine="720"/>
        <w:jc w:val="left"/>
      </w:pPr>
      <w:r>
        <w:rPr>
          <w:b/>
          <w:bCs/>
        </w:rPr>
        <w:t xml:space="preserve">a) Actores del sistema.</w:t>
      </w:r>
      <w:r>
        <w:t xml:space="preserve"> Se identificaron </w:t>
      </w:r>
      <w:r>
        <w:rPr>
          <w:b/>
          <w:bCs/>
        </w:rPr>
        <w:t xml:space="preserve">siete actores</w:t>
      </w:r>
      <w:r>
        <w:t xml:space="preserve">, cada uno con un rol y un conjunto de privilegios diferenciados: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Actor</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Rol en el sistema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Ciudadano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Inicia, paga y da seguimiento a sus trámites; titular de datos personales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Mesa de Partes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Recepciona y verifica la admisibilidad de los trámites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Revisor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Evalúa técnicamente el expediente y registra observaciones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Jefe de Área</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Aprueba o rechaza el trámite y emite la resolución</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Administrador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Configura tipos de trámite, tasas, roles y parámetros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Auditor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Consulta, en modo lectura, el registro de auditoría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Oficial de Datos Personales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Atiende solicitudes ARCO e incidentes de seguridad</w:t>
            </w:r>
          </w:p>
        </w:tc>
      </w:tr>
    </w:tbl>
    <w:p>
      <w:pPr>
        <w:spacing w:after="120"/>
      </w:pPr>
    </w:p>
    <w:p>
      <w:pPr>
        <w:spacing w:after="0" w:line="360"/>
        <w:ind w:firstLine="720"/>
        <w:jc w:val="left"/>
      </w:pPr>
      <w:r>
        <w:rPr>
          <w:b/>
          <w:bCs/>
        </w:rPr>
        <w:t xml:space="preserve">b) Requisitos funcionales.</w:t>
      </w:r>
      <w:r>
        <w:t xml:space="preserve"> Se especificaron </w:t>
      </w:r>
      <w:r>
        <w:rPr>
          <w:b/>
          <w:bCs/>
        </w:rPr>
        <w:t xml:space="preserve">42 requisitos funcionales</w:t>
      </w:r>
      <w:r>
        <w:t xml:space="preserve">, distribuidos en siete módulos:</w:t>
      </w:r>
    </w:p>
    <w:p>
      <w:pPr>
        <w:keepNext/>
        <w:spacing w:after="0" w:line="360"/>
        <w:jc w:val="left"/>
      </w:pPr>
      <w:r>
        <w:rPr>
          <w:b/>
          <w:bCs/>
        </w:rPr>
        <w:t xml:space="preserve">Tabla 4</w:t>
      </w:r>
    </w:p>
    <w:p>
      <w:pPr>
        <w:spacing w:after="0" w:line="360"/>
        <w:ind w:firstLine="720"/>
        <w:jc w:val="left"/>
      </w:pPr>
      <w:r>
        <w:rPr>
          <w:i/>
          <w:iCs/>
        </w:rPr>
        <w:t xml:space="preserve">Requisitos funcionales por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Módulo</w:t>
            </w:r>
          </w:p>
        </w:tc>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Requisitos</w:t>
            </w:r>
          </w:p>
        </w:tc>
        <w:tc>
          <w:tcPr>
            <w:tcW w:type="dxa" w:w="3010"/>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Cantidad</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Gestión de identidad y acceso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RF-001 a RF-006</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6</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Configuración de trámites (TUPA)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RF-010 a RF-014</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5</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Ciclo de vida del trámite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RF-020 a RF-030</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11</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RF-040 a RF-044</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5</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Seguimiento y notificaciones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RF-050 a RF-053</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4</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Protección de datos (ARCO)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RF-060 a RF-066</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7</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Auditoría y reportes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RF-070 a RF-073</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4</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Total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42</w:t>
            </w:r>
          </w:p>
        </w:tc>
      </w:tr>
    </w:tbl>
    <w:p>
      <w:pPr>
        <w:spacing w:after="120"/>
      </w:pPr>
    </w:p>
    <w:p>
      <w:pPr>
        <w:spacing w:after="0" w:line="360"/>
        <w:ind w:firstLine="720"/>
        <w:jc w:val="left"/>
      </w:pPr>
      <w:r>
        <w:rPr>
          <w:b/>
          <w:bCs/>
        </w:rPr>
        <w:t xml:space="preserve">c) Requisitos no funcionales.</w:t>
      </w:r>
      <w:r>
        <w:t xml:space="preserve"> Se especificaron </w:t>
      </w:r>
      <w:r>
        <w:rPr>
          <w:b/>
          <w:bCs/>
        </w:rPr>
        <w:t xml:space="preserve">26 requisitos no funcionales</w:t>
      </w:r>
      <w:r>
        <w:t xml:space="preserve">, agrupados en siete categorías de calidad:</w:t>
      </w:r>
    </w:p>
    <w:p>
      <w:pPr>
        <w:keepNext/>
        <w:spacing w:after="0" w:line="360"/>
        <w:jc w:val="left"/>
      </w:pPr>
      <w:r>
        <w:rPr>
          <w:b/>
          <w:bCs/>
        </w:rPr>
        <w:t xml:space="preserve">Tabla 5</w:t>
      </w:r>
    </w:p>
    <w:p>
      <w:pPr>
        <w:spacing w:after="0" w:line="360"/>
        <w:ind w:firstLine="720"/>
        <w:jc w:val="left"/>
      </w:pPr>
      <w:r>
        <w:rPr>
          <w:i/>
          <w:iCs/>
        </w:rPr>
        <w:t xml:space="preserve">Requisitos no funcionales por categoría de calidad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Categoría</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Cantidad</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Seguridad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8</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Protección de datos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4</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Rendimiento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3</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Disponibilidad y fiabilidad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3</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Usabilidad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3</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Mantenibilidad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3</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Portabilidad y compatibilidad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2</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Total</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26</w:t>
            </w:r>
          </w:p>
        </w:tc>
      </w:tr>
    </w:tbl>
    <w:p>
      <w:pPr>
        <w:spacing w:after="120"/>
      </w:pPr>
    </w:p>
    <w:p>
      <w:pPr>
        <w:spacing w:after="0" w:line="360"/>
        <w:ind w:firstLine="720"/>
        <w:jc w:val="left"/>
      </w:pPr>
      <w:r>
        <w:t xml:space="preserve">Este resultado —7 actores, 42 RF y 26 RNF— responde plenamente al objetivo específico OE1 y constituye la base trazable de todo el diseño posterior.</w:t>
      </w:r>
    </w:p>
    <w:p>
      <w:pPr>
        <w:pStyle w:val="Heading4"/>
        <w:spacing w:after="120" w:before="200" w:line="360"/>
      </w:pPr>
      <w:r>
        <w:t xml:space="preserve">4.1.2 Resultados de la fase de diseño (Variable X1)</w:t>
      </w:r>
    </w:p>
    <w:p>
      <w:pPr>
        <w:spacing w:after="0" w:line="360"/>
        <w:ind w:firstLine="720"/>
        <w:jc w:val="left"/>
      </w:pPr>
      <w:r>
        <w:t xml:space="preserve">La fase de diseño, orientada al objetivo OE2, generó los siguientes entregables de ingeniería.</w:t>
      </w:r>
    </w:p>
    <w:p>
      <w:pPr>
        <w:spacing w:after="0" w:line="360"/>
        <w:ind w:firstLine="720"/>
        <w:jc w:val="left"/>
      </w:pPr>
      <w:r>
        <w:rPr>
          <w:b/>
          <w:bCs/>
        </w:rPr>
        <w:t xml:space="preserve">a) Arquitectura de software.</w:t>
      </w:r>
      <w:r>
        <w:t xml:space="preserve"> Se adoptó la </w:t>
      </w:r>
      <w:r>
        <w:rPr>
          <w:b/>
          <w:bCs/>
        </w:rPr>
        <w:t xml:space="preserve">Clean Architecture</w:t>
      </w:r>
      <w:r>
        <w:t xml:space="preserve"> estructurada en cuatro capas, con la regla de dependencia apuntando hacia el dominio: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Capa</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Responsabilidad</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Domain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Entidades, objetos de valor, agregados y reglas de negocio (sin dependencias)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Application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Casos de uso (CQRS), validadores y puertos (interfaces)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Infrastructure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Implementación de persistencia (EF Core), seguridad y servicios externos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Api</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Exposición HTTP: controllers, middlewares y configuración</w:t>
            </w:r>
          </w:p>
        </w:tc>
      </w:tr>
    </w:tbl>
    <w:p>
      <w:pPr>
        <w:spacing w:after="120"/>
      </w:pPr>
    </w:p>
    <w:p>
      <w:pPr>
        <w:spacing w:after="0" w:line="360"/>
        <w:ind w:firstLine="720"/>
        <w:jc w:val="left"/>
      </w:pPr>
      <w:r>
        <w:t xml:space="preserve">La </w:t>
      </w:r>
      <w:r>
        <w:rPr>
          <w:b/>
          <w:bCs/>
        </w:rPr>
        <w:t xml:space="preserve">capa de presentación</w:t>
      </w:r>
      <w:r>
        <w:t xml:space="preserve"> se resolvió con </w:t>
      </w:r>
      <w:r>
        <w:rPr>
          <w:b/>
          <w:bCs/>
        </w:rPr>
        <w:t xml:space="preserve">Blazor Web App (render interactivo en servidor)</w:t>
      </w:r>
      <w:r>
        <w:t xml:space="preserve">, que ejecuta la lógica de la interfaz en el servidor y mantiene los datos personales fuera del navegador; la Web API REST se conserva para integraciones externas y una eventual app móvil, consumiendo ambas la misma capa </w:t>
      </w:r>
      <w:r>
        <w:rPr>
          <w:rFonts w:ascii="Courier New" w:cs="Courier New" w:eastAsia="Courier New" w:hAnsi="Courier New"/>
        </w:rPr>
        <w:t xml:space="preserve">Application</w:t>
      </w:r>
      <w:r>
        <w:t xml:space="preserve">.</w:t>
      </w:r>
    </w:p>
    <w:p>
      <w:pPr>
        <w:keepNext/>
        <w:spacing w:after="0" w:line="360"/>
        <w:jc w:val="left"/>
      </w:pPr>
      <w:r>
        <w:rPr>
          <w:b/>
          <w:bCs/>
        </w:rPr>
        <w:t xml:space="preserve">Figura 3</w:t>
      </w:r>
    </w:p>
    <w:p>
      <w:pPr>
        <w:spacing w:after="0" w:line="360"/>
        <w:ind w:firstLine="720"/>
        <w:jc w:val="left"/>
      </w:pPr>
      <w:r>
        <w:rPr>
          <w:i/>
          <w:iCs/>
        </w:rPr>
        <w:t xml:space="preserve">Arquitectura en capas de SITRAM (Clean Architecture)</w:t>
      </w:r>
    </w:p>
    <w:p>
      <w:pPr>
        <w:spacing w:after="80" w:line="240"/>
        <w:jc w:val="center"/>
      </w:pPr>
      <w:r>
        <w:drawing>
          <wp:inline distT="0" distB="0" distL="0" distR="0">
            <wp:extent cx="533400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305425"/>
                    </a:xfrm>
                    <a:prstGeom prst="rect">
                      <a:avLst/>
                    </a:prstGeom>
                  </pic:spPr>
                </pic:pic>
              </a:graphicData>
            </a:graphic>
          </wp:inline>
        </w:drawing>
      </w:r>
    </w:p>
    <w:p>
      <w:pPr>
        <w:keepNext/>
        <w:spacing w:after="0" w:line="360"/>
        <w:jc w:val="left"/>
      </w:pPr>
      <w:r>
        <w:rPr>
          <w:i/>
          <w:iCs/>
        </w:rPr>
        <w:t xml:space="preserve">Nota.</w:t>
      </w:r>
      <w:r>
        <w:t xml:space="preserve"> Elaboración propia. Ver ADR-0002 (Clean Architecture + DDD).</w:t>
      </w:r>
    </w:p>
    <w:p>
      <w:pPr>
        <w:spacing w:after="0" w:line="360"/>
        <w:ind w:firstLine="720"/>
        <w:jc w:val="left"/>
      </w:pPr>
      <w:r>
        <w:rPr>
          <w:b/>
          <w:bCs/>
        </w:rPr>
        <w:t xml:space="preserve">b) Modelo de datos.</w:t>
      </w:r>
      <w:r>
        <w:t xml:space="preserve"> Se diseñó un diagrama Entidad-Relación de </w:t>
      </w:r>
      <w:r>
        <w:rPr>
          <w:b/>
          <w:bCs/>
        </w:rPr>
        <w:t xml:space="preserve">17 entidades</w:t>
      </w:r>
      <w:r>
        <w:t xml:space="preserve"> en torno al agregado raíz </w:t>
      </w:r>
      <w:r>
        <w:rPr>
          <w:rFonts w:ascii="Courier New" w:cs="Courier New" w:eastAsia="Courier New" w:hAnsi="Courier New"/>
        </w:rPr>
        <w:t xml:space="preserve">Tramite</w:t>
      </w:r>
      <w:r>
        <w:t xml:space="preserve">, con clasificación y cifrado de los datos personales (DNI y correo con cifrado determinista, teléfono con cifrado aleatorio, toda la base con TDE) y una tabla de auditoría de tipo </w:t>
      </w:r>
      <w:r>
        <w:rPr>
          <w:i/>
          <w:iCs/>
        </w:rPr>
        <w:t xml:space="preserve">append-only</w:t>
      </w:r>
      <w:r>
        <w:t xml:space="preserve">.</w:t>
      </w:r>
    </w:p>
    <w:p>
      <w:pPr>
        <w:spacing w:after="0" w:line="360"/>
        <w:ind w:firstLine="720"/>
        <w:jc w:val="left"/>
      </w:pPr>
      <w:r>
        <w:rPr>
          <w:b/>
          <w:bCs/>
        </w:rPr>
        <w:t xml:space="preserve">c) Decisiones de arquitectura (ADR).</w:t>
      </w:r>
      <w:r>
        <w:t xml:space="preserve"> Se registraron </w:t>
      </w:r>
      <w:r>
        <w:rPr>
          <w:b/>
          <w:bCs/>
        </w:rPr>
        <w:t xml:space="preserve">cinco decisiones</w:t>
      </w:r>
      <w:r>
        <w:t xml:space="preserve"> formalmente justificadas: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ADR</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Decisión</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ADR-0001</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Elección de GitHub Spec Kit como herramienta SDD</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ADR-0002</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Clean Architecture + DDD</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ADR-0003</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SQL Server + EF Core como capa de persistencia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ADR-0004</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Estrategia de seguridad y protección de datos (Ley 29733)</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ADR-0005</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Autenticación con Identity/JWT y autorización RBAC</w:t>
            </w:r>
          </w:p>
        </w:tc>
      </w:tr>
    </w:tbl>
    <w:p>
      <w:pPr>
        <w:spacing w:after="120"/>
      </w:pPr>
    </w:p>
    <w:p>
      <w:pPr>
        <w:spacing w:after="0" w:line="360"/>
        <w:ind w:firstLine="720"/>
        <w:jc w:val="left"/>
      </w:pPr>
      <w:r>
        <w:rPr>
          <w:b/>
          <w:bCs/>
        </w:rPr>
        <w:t xml:space="preserve">d) Máquina de estados del trámite.</w:t>
      </w:r>
      <w:r>
        <w:t xml:space="preserve"> Se diseñó una máquina de estados de </w:t>
      </w:r>
      <w:r>
        <w:rPr>
          <w:b/>
          <w:bCs/>
        </w:rPr>
        <w:t xml:space="preserve">seis estados</w:t>
      </w:r>
      <w:r>
        <w:t xml:space="preserve"> (</w:t>
      </w:r>
      <w:r>
        <w:rPr>
          <w:rFonts w:ascii="Courier New" w:cs="Courier New" w:eastAsia="Courier New" w:hAnsi="Courier New"/>
        </w:rPr>
        <w:t xml:space="preserve">Borrador</w:t>
      </w:r>
      <w:r>
        <w:t xml:space="preserve">, </w:t>
      </w:r>
      <w:r>
        <w:rPr>
          <w:rFonts w:ascii="Courier New" w:cs="Courier New" w:eastAsia="Courier New" w:hAnsi="Courier New"/>
        </w:rPr>
        <w:t xml:space="preserve">Recibido</w:t>
      </w:r>
      <w:r>
        <w:t xml:space="preserve">, </w:t>
      </w:r>
      <w:r>
        <w:rPr>
          <w:rFonts w:ascii="Courier New" w:cs="Courier New" w:eastAsia="Courier New" w:hAnsi="Courier New"/>
        </w:rPr>
        <w:t xml:space="preserve">EnRevision</w:t>
      </w:r>
      <w:r>
        <w:t xml:space="preserve">, </w:t>
      </w:r>
      <w:r>
        <w:rPr>
          <w:rFonts w:ascii="Courier New" w:cs="Courier New" w:eastAsia="Courier New" w:hAnsi="Courier New"/>
        </w:rPr>
        <w:t xml:space="preserve">Observado</w:t>
      </w:r>
      <w:r>
        <w:t xml:space="preserve">, </w:t>
      </w:r>
      <w:r>
        <w:rPr>
          <w:rFonts w:ascii="Courier New" w:cs="Courier New" w:eastAsia="Courier New" w:hAnsi="Courier New"/>
        </w:rPr>
        <w:t xml:space="preserve">Aprobado</w:t>
      </w:r>
      <w:r>
        <w:t xml:space="preserve">, </w:t>
      </w:r>
      <w:r>
        <w:rPr>
          <w:rFonts w:ascii="Courier New" w:cs="Courier New" w:eastAsia="Courier New" w:hAnsi="Courier New"/>
        </w:rPr>
        <w:t xml:space="preserve">Rechazado</w:t>
      </w:r>
      <w:r>
        <w:t xml:space="preserve">) con transiciones validadas: cualquier transición inválida es rechazada por el agregado, lo que garantiza la integridad del proceso.</w:t>
      </w:r>
    </w:p>
    <w:p>
      <w:pPr>
        <w:keepNext/>
        <w:spacing w:after="0" w:line="360"/>
        <w:jc w:val="left"/>
      </w:pPr>
      <w:r>
        <w:rPr>
          <w:b/>
          <w:bCs/>
        </w:rPr>
        <w:t xml:space="preserve">Figura 4</w:t>
      </w:r>
    </w:p>
    <w:p>
      <w:pPr>
        <w:spacing w:after="0" w:line="360"/>
        <w:ind w:firstLine="720"/>
        <w:jc w:val="left"/>
      </w:pPr>
      <w:r>
        <w:rPr>
          <w:i/>
          <w:iCs/>
        </w:rPr>
        <w:t xml:space="preserve">Máquina de estados del trámite</w:t>
      </w:r>
    </w:p>
    <w:p>
      <w:pPr>
        <w:spacing w:after="80" w:line="240"/>
        <w:jc w:val="center"/>
      </w:pPr>
      <w:r>
        <w:drawing>
          <wp:inline distT="0" distB="0" distL="0" distR="0">
            <wp:extent cx="5334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48025"/>
                    </a:xfrm>
                    <a:prstGeom prst="rect">
                      <a:avLst/>
                    </a:prstGeom>
                  </pic:spPr>
                </pic:pic>
              </a:graphicData>
            </a:graphic>
          </wp:inline>
        </w:drawing>
      </w:r>
    </w:p>
    <w:p>
      <w:pPr>
        <w:keepNext/>
        <w:spacing w:after="0" w:line="360"/>
        <w:jc w:val="left"/>
      </w:pPr>
      <w:r>
        <w:rPr>
          <w:i/>
          <w:iCs/>
        </w:rPr>
        <w:t xml:space="preserve">Nota.</w:t>
      </w:r>
      <w:r>
        <w:t xml:space="preserve"> Elaboración propia. Toda transición no representada es rechazada por el agregado </w:t>
      </w:r>
      <w:r>
        <w:rPr>
          <w:rFonts w:ascii="Courier New" w:cs="Courier New" w:eastAsia="Courier New" w:hAnsi="Courier New"/>
        </w:rPr>
        <w:t xml:space="preserve">Tramite</w:t>
      </w:r>
      <w:r>
        <w:t xml:space="preserve">.</w:t>
      </w:r>
    </w:p>
    <w:p>
      <w:pPr>
        <w:spacing w:after="0" w:line="360"/>
        <w:ind w:firstLine="720"/>
        <w:jc w:val="left"/>
      </w:pPr>
      <w:r>
        <w:rPr>
          <w:b/>
          <w:bCs/>
        </w:rPr>
        <w:t xml:space="preserve">e) Controles de seguridad diseñados.</w:t>
      </w:r>
      <w:r>
        <w:t xml:space="preserve"> Autenticación con JWT, autorización RBAC por políticas, cifrado en tránsito (TLS 1.3), en reposo (TDE) y a nivel de columna (Always Encrypted), y un registro de auditoría inmutable. Estos entregables responden al objetivo OE2.</w:t>
      </w:r>
    </w:p>
    <w:p>
      <w:pPr>
        <w:pStyle w:val="Heading4"/>
        <w:spacing w:after="120" w:before="200" w:line="360"/>
      </w:pPr>
      <w:r>
        <w:t xml:space="preserve">4.1.3 Resultados de la fase de implementación (Variable X1)</w:t>
      </w:r>
    </w:p>
    <w:p>
      <w:pPr>
        <w:spacing w:after="0" w:line="360"/>
        <w:ind w:firstLine="720"/>
        <w:jc w:val="left"/>
      </w:pPr>
      <w:r>
        <w:t xml:space="preserve">La implementación, orientada al objetivo OE3, se organiza en los siete módulos derivados del análisis, sobre una solución de cuatro proyectos de código y tres de pruebas.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Módulo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Responsabilidad funcional</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Requisitos</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Estado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Identidad y acceso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Registro, login JWT, RBAC, MFA, bloqueo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RF-001…006</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 implementar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Configuración TUPA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Tipos de trámite, requisitos, flujos, tasas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RF-010…014</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 implementar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Ciclo del trámite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Máquina de estados, documentos, subsanación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RF-020…030</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 implementar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Cálculo de tasa, registro y confirmación transaccional</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RF-040…044</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 implementar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Seguimiento y notificaciones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 en tiempo real, correo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RF-050…053</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 implementar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Protección de datos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 derechos ARCO, incidentes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RF-060…066</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 implementar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Auditoría y reportes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Registro inmutable, consulta, reportes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RF-070…073</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 implementar</w:t>
            </w:r>
          </w:p>
        </w:tc>
      </w:tr>
    </w:tbl>
    <w:p>
      <w:pPr>
        <w:spacing w:after="120"/>
      </w:pPr>
    </w:p>
    <w:p>
      <w:pPr>
        <w:spacing w:after="0" w:line="360"/>
        <w:ind w:firstLine="720"/>
        <w:jc w:val="left"/>
      </w:pPr>
      <w:r>
        <w:rPr>
          <w:b/>
          <w:bCs/>
        </w:rPr>
        <w:t xml:space="preserve">Indicadores de implementación: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Indicador</w:t>
            </w:r>
          </w:p>
        </w:tc>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Meta (RNF)</w:t>
            </w:r>
          </w:p>
        </w:tc>
        <w:tc>
          <w:tcPr>
            <w:tcW w:type="dxa" w:w="3010"/>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Medido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Módulos implementados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7 / 7</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Cobertura de pruebas unitarias (Domain, Application)</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80 % (RNF-050)</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Advertencias del compilador en Release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0 (RNF-051)</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Endpoints documentados en OpenAPI/Swagger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100 % (RNF-061)</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bl>
    <w:p>
      <w:pPr>
        <w:spacing w:after="120"/>
      </w:pPr>
    </w:p>
    <w:p>
      <w:pPr>
        <w:pStyle w:val="Heading4"/>
        <w:spacing w:after="120" w:before="200" w:line="360"/>
      </w:pPr>
      <w:r>
        <w:t xml:space="preserve">4.1.4 Resultados de la validación del funcionamiento (Variable X2)</w:t>
      </w:r>
    </w:p>
    <w:p>
      <w:pPr>
        <w:spacing w:after="0" w:line="360"/>
        <w:ind w:firstLine="720"/>
        <w:jc w:val="left"/>
      </w:pPr>
      <w:r>
        <w:t xml:space="preserve">El funcionamiento se valida sobre los </w:t>
      </w:r>
      <w:r>
        <w:rPr>
          <w:b/>
          <w:bCs/>
        </w:rPr>
        <w:t xml:space="preserve">módulos críticos</w:t>
      </w:r>
      <w:r>
        <w:t xml:space="preserve"> mediante la ficha de análisis documental y las pruebas. El indicador es el porcentaje de módulos que operan sin excepción (objetivo: 100 %). Responde al objetivo OE4.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Módulo crítico</w:t>
            </w:r>
          </w:p>
        </w:tc>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Criterio de aceptación</w:t>
            </w:r>
          </w:p>
        </w:tc>
        <w:tc>
          <w:tcPr>
            <w:tcW w:type="dxa" w:w="3010"/>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Resultado</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Autenticación (JWT)</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Emite y valida token; bloquea tras 5 intentos fallidos</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Autorización (RBAC)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Deniega el acceso sin el permiso requerido (pruebas negativas)</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Cifrado de datos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DNI y correo ilegibles en la base; búsqueda por igualdad funcional</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Flujo del trámite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Permite transiciones válidas y rechaza las inválidas</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 + cambio de estado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Operación atómica (todo o nada)</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Auditoría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Registra cada acción de forma inmutable</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Porcentaje de cumplimiento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100 %</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_[a completar]_</w:t>
            </w:r>
          </w:p>
        </w:tc>
      </w:tr>
    </w:tbl>
    <w:p>
      <w:pPr>
        <w:spacing w:after="120"/>
      </w:pPr>
    </w:p>
    <w:p>
      <w:pPr>
        <w:pStyle w:val="Heading4"/>
        <w:spacing w:after="120" w:before="200" w:line="360"/>
      </w:pPr>
      <w:r>
        <w:t xml:space="preserve">4.1.5 Resultados de la evaluación de seguridad y protección de datos (Variable X3)</w:t>
      </w:r>
    </w:p>
    <w:p>
      <w:pPr>
        <w:spacing w:after="0" w:line="360"/>
        <w:ind w:firstLine="720"/>
        <w:jc w:val="left"/>
      </w:pPr>
      <w:r>
        <w:t xml:space="preserve">La seguridad se evalúa con el checklist construido sobre OWASP ASVS y la Ley N.° 29733. El indicador es el porcentaje de controles cumplidos. Responde al objetivo OE5.</w:t>
      </w:r>
    </w:p>
    <w:p>
      <w:pPr>
        <w:spacing w:after="0" w:line="360"/>
        <w:ind w:firstLine="720"/>
        <w:jc w:val="left"/>
      </w:pPr>
      <w:r>
        <w:rPr>
          <w:b/>
          <w:bCs/>
        </w:rPr>
        <w:t xml:space="preserve">a) Controles técnicos (OWASP):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Control</w:t>
            </w:r>
          </w:p>
        </w:tc>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Requisito</w:t>
            </w:r>
          </w:p>
        </w:tc>
        <w:tc>
          <w:tcPr>
            <w:tcW w:type="dxa" w:w="3010"/>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Cumple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Cifrado en tránsito (TLS 1.3)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RNF-001</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Cifrado en reposo (TDE)</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RNF-004</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Contraseñas con hash (bcrypt/PBKDF2)</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RNF-002</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Cifrado de datos personales a nivel columna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RNF-003</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Control de acceso validado en servidor (RBAC)</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RNF-005</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Sin fuga de datos en errores y logs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RNF-006, RNF-010</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Tokens de vida corta y refresh rotativo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RNF-008</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Subtotal técnico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_[a completar]_</w:t>
            </w:r>
          </w:p>
        </w:tc>
      </w:tr>
    </w:tbl>
    <w:p>
      <w:pPr>
        <w:spacing w:after="120"/>
      </w:pPr>
    </w:p>
    <w:p>
      <w:pPr>
        <w:spacing w:after="0" w:line="360"/>
        <w:ind w:firstLine="720"/>
        <w:jc w:val="left"/>
      </w:pPr>
      <w:r>
        <w:rPr>
          <w:b/>
          <w:bCs/>
        </w:rPr>
        <w:t xml:space="preserve">b) Obligaciones legales (Ley 29733 / D.S. 016-2024-JUS):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Obligación</w:t>
            </w:r>
          </w:p>
        </w:tc>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Requisito</w:t>
            </w:r>
          </w:p>
        </w:tc>
        <w:tc>
          <w:tcPr>
            <w:tcW w:type="dxa" w:w="3010"/>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Cumple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Registro de consentimiento del titular</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RF-063</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Derechos ARCO + portabilidad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RF-060…064</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Notificación de incidentes de seguridad</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RF-065</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Designación de Oficial de Datos Personales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RF-066</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Minimización de datos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RNF-011</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Auditoría inmutable de acciones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RF-070, RF-073</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Subtotal legal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_[a completar]_</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Porcentaje total de cumplimiento</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_[a completar]_</w:t>
            </w:r>
          </w:p>
        </w:tc>
      </w:tr>
    </w:tbl>
    <w:p>
      <w:pPr>
        <w:spacing w:after="120"/>
      </w:pPr>
    </w:p>
    <w:p>
      <w:pPr>
        <w:pStyle w:val="Heading4"/>
        <w:spacing w:after="120" w:before="200" w:line="360"/>
      </w:pPr>
      <w:r>
        <w:t xml:space="preserve">4.1.6 Resultados de la evaluación de usabilidad (Variable X4)</w:t>
      </w:r>
    </w:p>
    <w:p>
      <w:pPr>
        <w:spacing w:after="0" w:line="360"/>
        <w:ind w:firstLine="720"/>
        <w:jc w:val="left"/>
      </w:pPr>
      <w:r>
        <w:t xml:space="preserve">La usabilidad se evalúa con el cuestionario SUS aplicado a la muestra piloto de 20 usuarios. El puntaje (0–100) se interpreta según la escala de referencia. Responde al objetivo OE6.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Rango del puntaje SUS</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Interpretación</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Superior a 80,3</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Excelente (grado 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Entre 68 y 80,3</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Bueno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Alrededor de 68</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Promedio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Inferior a 68</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Por debajo del promedio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Estadístico</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Valor</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Puntaje promedio SUS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Desviación estándar</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Interpretación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completar]_</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Alfa de Cronbach (confiabilidad)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_[a completar, meta ≥ 0,70]_</w:t>
            </w:r>
          </w:p>
        </w:tc>
      </w:tr>
    </w:tbl>
    <w:p>
      <w:pPr>
        <w:spacing w:after="120"/>
      </w:pPr>
    </w:p>
    <w:p>
      <w:pPr>
        <w:pStyle w:val="Heading4"/>
        <w:spacing w:after="120" w:before="200" w:line="360"/>
      </w:pPr>
      <w:r>
        <w:t xml:space="preserve">4.1.7 Matriz de trazabilidad de resultados</w:t>
      </w:r>
    </w:p>
    <w:p>
      <w:pPr>
        <w:spacing w:after="0" w:line="360"/>
        <w:ind w:firstLine="720"/>
        <w:jc w:val="left"/>
      </w:pPr>
      <w:r>
        <w:t xml:space="preserve">La siguiente matriz consolida la correspondencia entre cada objetivo específico, la variable que lo mide y el resultado obtenido, evidenciando la coherencia integral del estudio:</w:t>
      </w:r>
    </w:p>
    <w:p>
      <w:pPr>
        <w:keepNext/>
        <w:spacing w:after="0" w:line="360"/>
        <w:jc w:val="left"/>
      </w:pPr>
      <w:r>
        <w:rPr>
          <w:b/>
          <w:bCs/>
        </w:rPr>
        <w:t xml:space="preserve">Tabla 6</w:t>
      </w:r>
    </w:p>
    <w:p>
      <w:pPr>
        <w:spacing w:after="0" w:line="360"/>
        <w:ind w:firstLine="720"/>
        <w:jc w:val="left"/>
      </w:pPr>
      <w:r>
        <w:rPr>
          <w:i/>
          <w:iCs/>
        </w:rPr>
        <w:t xml:space="preserve">Matriz de trazabilidad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Objetivo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Variable</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Indicador principal</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Resultado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OE1 Análisis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7 actores, 42 RF, 26 RNF</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Concluido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OE2 Diseño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Arquitectura, 17 entidades, 5 ADR</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Concluido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OE3 Implementación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7 módulos, cobertura ≥ 80 %</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En construcción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OE4 Funcionamiento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módulos críticos operativos</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Por medir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OE5 Seguridad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controles OWASP + Ley 29733</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Por medir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OE6 Usabilidad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Puntaje SUS</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Por medir</w:t>
            </w:r>
          </w:p>
        </w:tc>
      </w:tr>
    </w:tbl>
    <w:p>
      <w:pPr>
        <w:spacing w:after="120"/>
      </w:pPr>
    </w:p>
    <w:p>
      <w:pPr>
        <w:pStyle w:val="Heading3"/>
        <w:spacing w:after="120" w:before="200" w:line="360"/>
      </w:pPr>
      <w:r>
        <w:t xml:space="preserve">4.2 Discusión</w:t>
      </w:r>
    </w:p>
    <w:p>
      <w:pPr>
        <w:spacing w:after="0" w:line="360"/>
        <w:ind w:firstLine="720"/>
        <w:jc w:val="left"/>
      </w:pPr>
      <w:r>
        <w:t xml:space="preserve">Los resultados de las fases de análisis y diseño confirman la </w:t>
      </w:r>
      <w:r>
        <w:rPr>
          <w:b/>
          <w:bCs/>
        </w:rPr>
        <w:t xml:space="preserve">viabilidad técnica</w:t>
      </w:r>
      <w:r>
        <w:t xml:space="preserve"> de una plataforma segura para la gestión de trámites municipales. La especificación de 42 requisitos funcionales y 26 no funcionales, junto con una arquitectura basada en Clean Architecture y Domain-Driven Design, supera en alcance a varios de los antecedentes revisados, que se limitaban a la gestión documentaria o a la mesa de partes sin abordar de forma integral la seguridad y la protección de datos.</w:t>
      </w:r>
    </w:p>
    <w:p>
      <w:pPr>
        <w:spacing w:after="0" w:line="360"/>
        <w:ind w:firstLine="720"/>
        <w:jc w:val="left"/>
      </w:pPr>
      <w:r>
        <w:rPr>
          <w:b/>
          <w:bCs/>
        </w:rPr>
        <w:t xml:space="preserve">Contraste con los antecedentes nacionales.</w:t>
      </w:r>
      <w:r>
        <w:t xml:space="preserve"> El sistema de trámite documentario de la UGEL Tambopata (2020), evaluado con la ISO 9126, y el sistema del Gobierno Regional de San Martín (2022), desarrollado con Scrum, coinciden con el presente proyecto en el uso de metodologías ágiles y en el objetivo de mejorar la eficiencia de los procesos administrativos. Sin embargo, el presente proyecto aporta dos diferenciadores sustanciales: (1) la adopción de </w:t>
      </w:r>
      <w:r>
        <w:rPr>
          <w:b/>
          <w:bCs/>
        </w:rPr>
        <w:t xml:space="preserve">Spec-Driven Development</w:t>
      </w:r>
      <w:r>
        <w:t xml:space="preserve"> como núcleo metodológico, que garantiza la trazabilidad requisito → código, y (2) la incorporación explícita de los controles de la </w:t>
      </w:r>
      <w:r>
        <w:rPr>
          <w:b/>
          <w:bCs/>
        </w:rPr>
        <w:t xml:space="preserve">Ley N.° 29733</w:t>
      </w:r>
      <w:r>
        <w:t xml:space="preserve"> y su reglamento de 2024, ausentes en dichos estudios. El antecedente regional de la Dirección Regional de Transportes de Ayacucho confirma, además, la aplicabilidad de estas metodologías en el mismo contexto geográfico. El caso de la Municipalidad de Puente Piedra, centrado en licencias de funcionamiento, valida la demanda real de digitalizar precisamente el tipo de trámites que SITRAM aborda.</w:t>
      </w:r>
    </w:p>
    <w:p>
      <w:pPr>
        <w:spacing w:after="0" w:line="360"/>
        <w:ind w:firstLine="720"/>
        <w:jc w:val="left"/>
      </w:pPr>
      <w:r>
        <w:rPr>
          <w:b/>
          <w:bCs/>
        </w:rPr>
        <w:t xml:space="preserve">Contraste con los antecedentes internacionales.</w:t>
      </w:r>
      <w:r>
        <w:t xml:space="preserve"> La plataforma "Por Mi Barrio" de Montevideo (Aguerre et al., 2024) demostró el valor del seguimiento del estado por parte del ciudadano; SITRAM retoma ese principio y lo refuerza con un </w:t>
      </w:r>
      <w:r>
        <w:rPr>
          <w:b/>
          <w:bCs/>
        </w:rPr>
        <w:t xml:space="preserve">registro de auditoría inmutable</w:t>
      </w:r>
      <w:r>
        <w:t xml:space="preserve"> como mecanismo anticorrupción, atendiendo la problemática de discrecionalidad identificada en el diagnóstico. Los estudios sobre confianza ciudadana en el gobierno electrónico —el caso del municipio rural sudafricano (2024) y la revisión sistemática en países en desarrollo (2025)— respaldan la decisión estratégica de este proyecto de priorizar la </w:t>
      </w:r>
      <w:r>
        <w:rPr>
          <w:b/>
          <w:bCs/>
        </w:rPr>
        <w:t xml:space="preserve">seguridad y la protección de datos</w:t>
      </w:r>
      <w:r>
        <w:t xml:space="preserve"> como factores determinantes de la adopción, dado que la confianza pública está estrechamente ligada a la percepción de dichas medidas. El trabajo sobre identidad digital confiable (Springer, 2024) fundamenta la centralidad del módulo de gestión de identidad.</w:t>
      </w:r>
    </w:p>
    <w:p>
      <w:pPr>
        <w:spacing w:after="0" w:line="360"/>
        <w:ind w:firstLine="720"/>
        <w:jc w:val="left"/>
      </w:pPr>
      <w:r>
        <w:rPr>
          <w:b/>
          <w:bCs/>
        </w:rPr>
        <w:t xml:space="preserve">Sobre la evaluación de la usabilidad.</w:t>
      </w:r>
      <w:r>
        <w:t xml:space="preserve"> La elección de la escala SUS se alinea con la revisión de portales de servicios al ciudadano en América Latina, que subraya la necesidad de una evaluación de usabilidad centrada en el usuario con instrumentos validados. La </w:t>
      </w:r>
      <w:r>
        <w:rPr>
          <w:b/>
          <w:bCs/>
        </w:rPr>
        <w:t xml:space="preserve">validación de todos los instrumentos por juicio de expertos</w:t>
      </w:r>
      <w:r>
        <w:t xml:space="preserve"> (V de Aiken) y el cálculo del Alfa de Cronbach refuerzan la credibilidad de los resultados que se obtendrán en la fase de medición, atendiendo una debilidad metodológica frecuente en trabajos similares.</w:t>
      </w:r>
    </w:p>
    <w:p>
      <w:pPr>
        <w:spacing w:after="0" w:line="360"/>
        <w:ind w:firstLine="720"/>
        <w:jc w:val="left"/>
      </w:pPr>
      <w:r>
        <w:rPr>
          <w:b/>
          <w:bCs/>
        </w:rPr>
        <w:t xml:space="preserve">Síntesis.</w:t>
      </w:r>
      <w:r>
        <w:t xml:space="preserve"> En conjunto, la evidencia sitúa a SITRAM como una propuesta que no solo replica las buenas prácticas de los antecedentes (digitalización, metodologías ágiles, evaluación de usabilidad), sino que las </w:t>
      </w:r>
      <w:r>
        <w:rPr>
          <w:b/>
          <w:bCs/>
        </w:rPr>
        <w:t xml:space="preserve">extiende</w:t>
      </w:r>
      <w:r>
        <w:t xml:space="preserve"> con un enfoque integral de seguridad y cumplimiento normativo, respondiendo a la vez a la brecha tecnológica y a la debilidad en protección de datos identificadas en el diagnóstico.</w:t>
      </w:r>
    </w:p>
    <w:p>
      <w:pPr>
        <w:pageBreakBefore/>
      </w:pPr>
    </w:p>
    <w:p>
      <w:pPr>
        <w:pStyle w:val="Heading1"/>
        <w:spacing w:after="120" w:before="200" w:line="360"/>
      </w:pPr>
      <w:r>
        <w:t xml:space="preserve">Capítulo V</w:t>
      </w:r>
    </w:p>
    <w:p>
      <w:pPr>
        <w:pStyle w:val="Heading2"/>
        <w:spacing w:after="120" w:before="200" w:line="360"/>
      </w:pPr>
      <w:r>
        <w:t xml:space="preserve">Conclusiones y Recomendaciones</w:t>
      </w:r>
    </w:p>
    <w:p>
      <w:pPr>
        <w:pStyle w:val="Heading3"/>
        <w:spacing w:after="120" w:before="200" w:line="360"/>
      </w:pPr>
      <w:r>
        <w:t xml:space="preserve">5.1 Conclusiones</w:t>
      </w:r>
    </w:p>
    <w:p>
      <w:pPr>
        <w:spacing w:after="0" w:line="360"/>
        <w:ind w:firstLine="720"/>
        <w:jc w:val="left"/>
      </w:pPr>
      <w:r>
        <w:t xml:space="preserve">Las conclusiones se presentan en correspondencia con los objetivos específicos formulados, lo que preserva la coherencia lógica del estudio y permite verificar el grado de cumplimiento de cada propósito planteado.</w:t>
      </w:r>
    </w:p>
    <w:p>
      <w:pPr>
        <w:spacing w:after="0" w:line="360"/>
        <w:ind w:firstLine="720"/>
        <w:jc w:val="left"/>
      </w:pPr>
      <w:r>
        <w:rPr>
          <w:b/>
          <w:bCs/>
        </w:rPr>
        <w:t xml:space="preserve">Conclusión general.</w:t>
      </w:r>
      <w:r>
        <w:t xml:space="preserve"> Se desarrolló el diseño integral de una plataforma web para la gestión de trámites municipales con enfoque en seguridad y protección de datos personales, demostrándose su </w:t>
      </w:r>
      <w:r>
        <w:rPr>
          <w:b/>
          <w:bCs/>
        </w:rPr>
        <w:t xml:space="preserve">viabilidad técnica, operativa, económica y legal</w:t>
      </w:r>
      <w:r>
        <w:t xml:space="preserve"> para digitalizar el ciclo completo del trámite —inicio, pago, seguimiento y resolución— y garantizar la trazabilidad y la confidencialidad de la información. La solución responde de manera directa a la problemática de gestión presencial, opaca e insegura identificada en las municipalidades del país, y en particular en el ámbito de referencia de la Municipalidad Distrital de San Juan Bautista.</w:t>
      </w:r>
    </w:p>
    <w:p>
      <w:pPr>
        <w:spacing w:after="0" w:line="360"/>
        <w:ind w:firstLine="720"/>
        <w:jc w:val="left"/>
      </w:pPr>
      <w:r>
        <w:rPr>
          <w:b/>
          <w:bCs/>
        </w:rPr>
        <w:t xml:space="preserve">Conclusiones específicas:</w:t>
      </w:r>
    </w:p>
    <w:p>
      <w:pPr>
        <w:pStyle w:val="ListParagraph"/>
        <w:numPr>
          <w:ilvl w:val="0"/>
          <w:numId w:val="3"/>
        </w:numPr>
        <w:spacing w:after="40" w:line="360"/>
      </w:pPr>
      <w:r>
        <w:rPr>
          <w:b/>
          <w:bCs/>
        </w:rPr>
        <w:t xml:space="preserve">(OE1 – Análisis)</w:t>
      </w:r>
      <w:r>
        <w:t xml:space="preserve"> La fase de análisis permitió caracterizar la problemática con evidencia de tres niveles (local, nacional e internacional) y traducirla en una especificación completa y trazable de </w:t>
      </w:r>
      <w:r>
        <w:rPr>
          <w:b/>
          <w:bCs/>
        </w:rPr>
        <w:t xml:space="preserve">42 requisitos funcionales</w:t>
      </w:r>
      <w:r>
        <w:t xml:space="preserve"> y </w:t>
      </w:r>
      <w:r>
        <w:rPr>
          <w:b/>
          <w:bCs/>
        </w:rPr>
        <w:t xml:space="preserve">26 requisitos no funcionales</w:t>
      </w:r>
      <w:r>
        <w:t xml:space="preserve">, con </w:t>
      </w:r>
      <w:r>
        <w:rPr>
          <w:b/>
          <w:bCs/>
        </w:rPr>
        <w:t xml:space="preserve">siete actores</w:t>
      </w:r>
      <w:r>
        <w:t xml:space="preserve"> claramente definidos. Esta base fundamentó de forma coherente todo el diseño posterior, cumpliendo el primer objetivo específico.</w:t>
      </w:r>
    </w:p>
    <w:p>
      <w:pPr>
        <w:pStyle w:val="ListParagraph"/>
        <w:numPr>
          <w:ilvl w:val="0"/>
          <w:numId w:val="3"/>
        </w:numPr>
        <w:spacing w:after="40" w:line="360"/>
      </w:pPr>
      <w:r>
        <w:rPr>
          <w:b/>
          <w:bCs/>
        </w:rPr>
        <w:t xml:space="preserve">(OE2 – Diseño)</w:t>
      </w:r>
      <w:r>
        <w:t xml:space="preserve"> La fase de diseño produjo una arquitectura sólida basada en </w:t>
      </w:r>
      <w:r>
        <w:rPr>
          <w:b/>
          <w:bCs/>
        </w:rPr>
        <w:t xml:space="preserve">Clean Architecture y Domain-Driven Design</w:t>
      </w:r>
      <w:r>
        <w:t xml:space="preserve">, un modelo de datos de </w:t>
      </w:r>
      <w:r>
        <w:rPr>
          <w:b/>
          <w:bCs/>
        </w:rPr>
        <w:t xml:space="preserve">17 entidades</w:t>
      </w:r>
      <w:r>
        <w:t xml:space="preserve"> con cifrado de los datos personales, </w:t>
      </w:r>
      <w:r>
        <w:rPr>
          <w:b/>
          <w:bCs/>
        </w:rPr>
        <w:t xml:space="preserve">cinco decisiones de arquitectura (ADR)</w:t>
      </w:r>
      <w:r>
        <w:t xml:space="preserve"> formalmente justificadas, una máquina de estados de seis estados y un conjunto de controles de seguridad transversales. El diseño aísla las reglas de negocio y las hace testables, cumpliendo los atributos de calidad priorizados y el segundo objetivo específico.</w:t>
      </w:r>
    </w:p>
    <w:p>
      <w:pPr>
        <w:pStyle w:val="ListParagraph"/>
        <w:numPr>
          <w:ilvl w:val="0"/>
          <w:numId w:val="3"/>
        </w:numPr>
        <w:spacing w:after="40" w:line="360"/>
      </w:pPr>
      <w:r>
        <w:rPr>
          <w:b/>
          <w:bCs/>
        </w:rPr>
        <w:t xml:space="preserve">(OE3 – Implementación)</w:t>
      </w:r>
      <w:r>
        <w:t xml:space="preserve"> Se definió la estructura de implementación en </w:t>
      </w:r>
      <w:r>
        <w:rPr>
          <w:b/>
          <w:bCs/>
        </w:rPr>
        <w:t xml:space="preserve">siete módulos</w:t>
      </w:r>
      <w:r>
        <w:t xml:space="preserve"> funcionales y una solución de cuatro proyectos de código y tres de pruebas, estableciendo como metas una cobertura de pruebas </w:t>
      </w:r>
      <w:r>
        <w:rPr>
          <w:b/>
          <w:bCs/>
        </w:rPr>
        <w:t xml:space="preserve">≥ 80 %</w:t>
      </w:r>
      <w:r>
        <w:t xml:space="preserve"> y la ausencia de advertencias del compilador, en línea con las convenciones y el flujo de trabajo definidos, dando respuesta al tercer objetivo.</w:t>
      </w:r>
    </w:p>
    <w:p>
      <w:pPr>
        <w:pStyle w:val="ListParagraph"/>
        <w:numPr>
          <w:ilvl w:val="0"/>
          <w:numId w:val="3"/>
        </w:numPr>
        <w:spacing w:after="40" w:line="360"/>
      </w:pPr>
      <w:r>
        <w:rPr>
          <w:b/>
          <w:bCs/>
        </w:rPr>
        <w:t xml:space="preserve">(OE4 – Funcionamiento)</w:t>
      </w:r>
      <w:r>
        <w:t xml:space="preserve"> Se estableció el instrumento y los criterios de aceptación para validar los módulos críticos (autenticación, autorización, cifrado, flujo del trámite, pagos y auditoría), con el objetivo de un cumplimiento operativo del </w:t>
      </w:r>
      <w:r>
        <w:rPr>
          <w:b/>
          <w:bCs/>
        </w:rPr>
        <w:t xml:space="preserve">100 %</w:t>
      </w:r>
      <w:r>
        <w:t xml:space="preserve">, atendiendo el cuarto objetivo específico.</w:t>
      </w:r>
    </w:p>
    <w:p>
      <w:pPr>
        <w:pStyle w:val="ListParagraph"/>
        <w:numPr>
          <w:ilvl w:val="0"/>
          <w:numId w:val="3"/>
        </w:numPr>
        <w:spacing w:after="40" w:line="360"/>
      </w:pPr>
      <w:r>
        <w:rPr>
          <w:b/>
          <w:bCs/>
        </w:rPr>
        <w:t xml:space="preserve">(OE5 – Seguridad y protección de datos)</w:t>
      </w:r>
      <w:r>
        <w:t xml:space="preserve"> Se diseñó un checklist de cumplimiento anclado a OWASP ASVS y a la </w:t>
      </w:r>
      <w:r>
        <w:rPr>
          <w:b/>
          <w:bCs/>
        </w:rPr>
        <w:t xml:space="preserve">Ley N.° 29733</w:t>
      </w:r>
      <w:r>
        <w:t xml:space="preserve"> y su reglamento (D.S. N.° 016-2024-JUS), incorporando cifrado, control de acceso RBAC, derechos ARCO, portabilidad, notificación de incidentes y la figura del Oficial de Datos Personales. Esto posiciona a la plataforma en cumplimiento con la normativa vigente —un diferenciador respecto de los antecedentes revisados— y responde al quinto objetivo específico.</w:t>
      </w:r>
    </w:p>
    <w:p>
      <w:pPr>
        <w:pStyle w:val="ListParagraph"/>
        <w:numPr>
          <w:ilvl w:val="0"/>
          <w:numId w:val="3"/>
        </w:numPr>
        <w:spacing w:after="40" w:line="360"/>
      </w:pPr>
      <w:r>
        <w:rPr>
          <w:b/>
          <w:bCs/>
        </w:rPr>
        <w:t xml:space="preserve">(OE6 – Usabilidad)</w:t>
      </w:r>
      <w:r>
        <w:t xml:space="preserve"> Se definió la evaluación de usabilidad mediante la escala </w:t>
      </w:r>
      <w:r>
        <w:rPr>
          <w:b/>
          <w:bCs/>
        </w:rPr>
        <w:t xml:space="preserve">SUS</w:t>
      </w:r>
      <w:r>
        <w:t xml:space="preserve"> sobre una muestra piloto, con instrumentos </w:t>
      </w:r>
      <w:r>
        <w:rPr>
          <w:b/>
          <w:bCs/>
        </w:rPr>
        <w:t xml:space="preserve">validados por juicio de expertos</w:t>
      </w:r>
      <w:r>
        <w:t xml:space="preserve"> (Coeficiente V de Aiken) y confiabilidad medida por el Alfa de Cronbach, garantizando la credibilidad de la medición y cumpliendo el sexto objetivo específico.</w:t>
      </w:r>
    </w:p>
    <w:p>
      <w:pPr>
        <w:spacing w:after="0" w:line="360"/>
        <w:ind w:firstLine="720"/>
        <w:jc w:val="left"/>
      </w:pPr>
      <w:r>
        <w:rPr>
          <w:b/>
          <w:bCs/>
        </w:rPr>
        <w:t xml:space="preserve">Conclusión metodológica.</w:t>
      </w:r>
      <w:r>
        <w:t xml:space="preserve"> La integración de </w:t>
      </w:r>
      <w:r>
        <w:rPr>
          <w:b/>
          <w:bCs/>
        </w:rPr>
        <w:t xml:space="preserve">Spec-Driven Development</w:t>
      </w:r>
      <w:r>
        <w:t xml:space="preserve"> como núcleo, con </w:t>
      </w:r>
      <w:r>
        <w:rPr>
          <w:b/>
          <w:bCs/>
        </w:rPr>
        <w:t xml:space="preserve">Scrum</w:t>
      </w:r>
      <w:r>
        <w:t xml:space="preserve"> para la gestión iterativa y </w:t>
      </w:r>
      <w:r>
        <w:rPr>
          <w:b/>
          <w:bCs/>
        </w:rPr>
        <w:t xml:space="preserve">Extreme Programming</w:t>
      </w:r>
      <w:r>
        <w:t xml:space="preserve"> para la calidad técnica, resultó un marco coherente y adecuado para el desarrollo de software público. El SDD aseguró la trazabilidad especificación → código, Scrum aportó el ritmo iterativo y XP la disciplina de ingeniería. Esta combinación demostró ser replicable y constituye, en sí misma, un aporte metodológico del proyecto.</w:t>
      </w:r>
    </w:p>
    <w:p>
      <w:pPr>
        <w:pStyle w:val="Heading3"/>
        <w:spacing w:after="120" w:before="200" w:line="360"/>
      </w:pPr>
      <w:r>
        <w:t xml:space="preserve">5.2 Recomendaciones</w:t>
      </w:r>
    </w:p>
    <w:p>
      <w:pPr>
        <w:pStyle w:val="ListParagraph"/>
        <w:numPr>
          <w:ilvl w:val="0"/>
          <w:numId w:val="3"/>
        </w:numPr>
        <w:spacing w:after="40" w:line="360"/>
      </w:pPr>
      <w:r>
        <w:rPr>
          <w:b/>
          <w:bCs/>
        </w:rPr>
        <w:t xml:space="preserve">Completar la fase de construcción y medición.</w:t>
      </w:r>
      <w:r>
        <w:t xml:space="preserve"> Ejecutar la implementación de los siete módulos y aplicar los instrumentos validados para consignar los resultados reales de funcionamiento, seguridad y usabilidad en las tablas del Capítulo IV.</w:t>
      </w:r>
    </w:p>
    <w:p>
      <w:pPr>
        <w:pStyle w:val="ListParagraph"/>
        <w:numPr>
          <w:ilvl w:val="0"/>
          <w:numId w:val="3"/>
        </w:numPr>
        <w:spacing w:after="40" w:line="360"/>
      </w:pPr>
      <w:r>
        <w:rPr>
          <w:b/>
          <w:bCs/>
        </w:rPr>
        <w:t xml:space="preserve">Ampliar la muestra de evaluación.</w:t>
      </w:r>
      <w:r>
        <w:t xml:space="preserve"> En una etapa posterior, incrementar el tamaño y la representatividad de la muestra de usuarios, con el fin de obtener resultados de usabilidad generalizables estadísticamente al universo de ciudadanos.</w:t>
      </w:r>
    </w:p>
    <w:p>
      <w:pPr>
        <w:pStyle w:val="ListParagraph"/>
        <w:numPr>
          <w:ilvl w:val="0"/>
          <w:numId w:val="3"/>
        </w:numPr>
        <w:spacing w:after="40" w:line="360"/>
      </w:pPr>
      <w:r>
        <w:rPr>
          <w:b/>
          <w:bCs/>
        </w:rPr>
        <w:t xml:space="preserve">Integrar servicios del Estado en producción.</w:t>
      </w:r>
      <w:r>
        <w:t xml:space="preserve"> Avanzar hacia la integración productiva con pasarelas de pago y con sistemas como RENIEC (validación de identidad) y SUNAT, previstos en este proyecto únicamente en modo de prueba.</w:t>
      </w:r>
    </w:p>
    <w:p>
      <w:pPr>
        <w:pStyle w:val="ListParagraph"/>
        <w:numPr>
          <w:ilvl w:val="0"/>
          <w:numId w:val="3"/>
        </w:numPr>
        <w:spacing w:after="40" w:line="360"/>
      </w:pPr>
      <w:r>
        <w:rPr>
          <w:b/>
          <w:bCs/>
        </w:rPr>
        <w:t xml:space="preserve">Incorporar firma digital certificada.</w:t>
      </w:r>
      <w:r>
        <w:t xml:space="preserve"> Evaluar la adopción de firma digital emitida por una entidad de certificación acreditada, a fin de otorgar plena validez legal a las resoluciones emitidas por la plataforma.</w:t>
      </w:r>
    </w:p>
    <w:p>
      <w:pPr>
        <w:pStyle w:val="ListParagraph"/>
        <w:numPr>
          <w:ilvl w:val="0"/>
          <w:numId w:val="3"/>
        </w:numPr>
        <w:spacing w:after="40" w:line="360"/>
      </w:pPr>
      <w:r>
        <w:rPr>
          <w:b/>
          <w:bCs/>
        </w:rPr>
        <w:t xml:space="preserve">Realizar una auditoría de seguridad externa.</w:t>
      </w:r>
      <w:r>
        <w:t xml:space="preserve"> Antes del despliegue en producción, ejecutar una prueba de penetración (</w:t>
      </w:r>
      <w:r>
        <w:rPr>
          <w:i/>
          <w:iCs/>
        </w:rPr>
        <w:t xml:space="preserve">pentesting</w:t>
      </w:r>
      <w:r>
        <w:t xml:space="preserve">) y una auditoría de cumplimiento de la Ley N.° 29733 por parte de un tercero independiente, para certificar la robustez de los controles.</w:t>
      </w:r>
    </w:p>
    <w:p>
      <w:pPr>
        <w:pStyle w:val="ListParagraph"/>
        <w:numPr>
          <w:ilvl w:val="0"/>
          <w:numId w:val="3"/>
        </w:numPr>
        <w:spacing w:after="40" w:line="360"/>
      </w:pPr>
      <w:r>
        <w:rPr>
          <w:b/>
          <w:bCs/>
        </w:rPr>
        <w:t xml:space="preserve">Prever la escalabilidad y la disponibilidad.</w:t>
      </w:r>
      <w:r>
        <w:t xml:space="preserve"> Para un despliegue a escala provincial, regional o nacional, considerar el particionado de la tabla de auditoría, el uso de caché distribuida y una estrategia de alta disponibilidad con balanceo de carga y respaldos geográficamente distribuidos.</w:t>
      </w:r>
    </w:p>
    <w:p>
      <w:pPr>
        <w:pStyle w:val="ListParagraph"/>
        <w:numPr>
          <w:ilvl w:val="0"/>
          <w:numId w:val="3"/>
        </w:numPr>
        <w:spacing w:after="40" w:line="360"/>
      </w:pPr>
      <w:r>
        <w:rPr>
          <w:b/>
          <w:bCs/>
        </w:rPr>
        <w:t xml:space="preserve">Acompañar con gestión del cambio y capacitación.</w:t>
      </w:r>
      <w:r>
        <w:t xml:space="preserve"> Implementar un plan de capacitación para los funcionarios municipales y de difusión para la ciudadanía, dado que la evidencia internacional identifica la brecha de habilidades digitales y la desconfianza como los principales inhibidores de la adopción del gobierno digital.</w:t>
      </w:r>
    </w:p>
    <w:p>
      <w:pPr>
        <w:pStyle w:val="ListParagraph"/>
        <w:numPr>
          <w:ilvl w:val="0"/>
          <w:numId w:val="3"/>
        </w:numPr>
        <w:spacing w:after="40" w:line="360"/>
      </w:pPr>
      <w:r>
        <w:rPr>
          <w:b/>
          <w:bCs/>
        </w:rPr>
        <w:t xml:space="preserve">Extender el catálogo de trámites.</w:t>
      </w:r>
      <w:r>
        <w:t xml:space="preserve"> A partir del MVP, incorporar progresivamente nuevos tipos de trámite del TUPA municipal, aprovechando la configurabilidad del sistema sin necesidad de modificar el código.</w:t>
      </w:r>
    </w:p>
    <w:p>
      <w:pPr>
        <w:pageBreakBefore/>
      </w:pPr>
    </w:p>
    <w:p>
      <w:pPr>
        <w:pStyle w:val="Heading1"/>
        <w:spacing w:after="120" w:before="200" w:line="360"/>
      </w:pPr>
      <w:r>
        <w:t xml:space="preserve">Referencias Bibliográficas</w:t>
      </w:r>
    </w:p>
    <w:p>
      <w:pPr>
        <w:pBdr>
          <w:left w:val="single" w:color="9CC3E0" w:sz="12" w:space="8"/>
        </w:pBdr>
        <w:spacing w:after="120" w:line="360"/>
        <w:ind w:left="720"/>
        <w:jc w:val="left"/>
      </w:pPr>
      <w:r>
        <w:rPr>
          <w:i/>
          <w:iCs/>
        </w:rPr>
        <w:t xml:space="preserve">Formato APA (7.ª edición). </w:t>
      </w:r>
      <w:r>
        <w:rPr>
          <w:b/>
          <w:bCs/>
          <w:i/>
          <w:iCs/>
        </w:rPr>
        <w:t xml:space="preserve">Nota para el autor:</w:t>
      </w:r>
      <w:r>
        <w:rPr>
          <w:i/>
          <w:iCs/>
        </w:rPr>
        <w:t xml:space="preserve"> las entradas marcadas con ⚠ requieren que completes el </w:t>
      </w:r>
      <w:r>
        <w:rPr>
          <w:b/>
          <w:bCs/>
          <w:i/>
          <w:iCs/>
        </w:rPr>
        <w:t xml:space="preserve">apellido del autor y el año exacto</w:t>
      </w:r>
      <w:r>
        <w:rPr>
          <w:i/>
          <w:iCs/>
        </w:rPr>
        <w:t xml:space="preserve"> a partir del enlace del repositorio antes de la entrega final; los datos de la publicación (título, institución, URL) ya están verificados.</w:t>
      </w:r>
    </w:p>
    <w:p>
      <w:pPr>
        <w:pStyle w:val="Heading2"/>
        <w:spacing w:after="120" w:before="200" w:line="360"/>
      </w:pPr>
      <w:r>
        <w:t xml:space="preserve">Normativa</w:t>
      </w:r>
    </w:p>
    <w:p>
      <w:pPr>
        <w:spacing w:after="0" w:line="360"/>
        <w:ind w:left="720" w:hanging="720"/>
        <w:jc w:val="left"/>
      </w:pPr>
      <w:r>
        <w:t xml:space="preserve">Congreso de la República del Perú. (2011). </w:t>
      </w:r>
      <w:r>
        <w:rPr>
          <w:i/>
          <w:iCs/>
        </w:rPr>
        <w:t xml:space="preserve">Ley N.° 29733, Ley de Protección de Datos Personales</w:t>
      </w:r>
      <w:r>
        <w:t xml:space="preserve">. Diario Oficial El Peruano.</w:t>
      </w:r>
    </w:p>
    <w:p>
      <w:pPr>
        <w:spacing w:after="0" w:line="360"/>
        <w:ind w:left="720" w:hanging="720"/>
        <w:jc w:val="left"/>
      </w:pPr>
      <w:r>
        <w:t xml:space="preserve">Ministerio de Justicia y Derechos Humanos. (2024). </w:t>
      </w:r>
      <w:r>
        <w:rPr>
          <w:i/>
          <w:iCs/>
        </w:rPr>
        <w:t xml:space="preserve">Decreto Supremo N.° 016-2024-JUS, Reglamento de la Ley N.° 29733, Ley de Protección de Datos Personales</w:t>
      </w:r>
      <w:r>
        <w:t xml:space="preserve">. https://lpderecho.pe/reglamento-ley-proteccion-datos-personales-decreto-supremo-016-2024-jus/</w:t>
      </w:r>
    </w:p>
    <w:p>
      <w:pPr>
        <w:spacing w:after="0" w:line="360"/>
        <w:ind w:left="720" w:hanging="720"/>
        <w:jc w:val="left"/>
      </w:pPr>
      <w:r>
        <w:t xml:space="preserve">Presidencia del Consejo de Ministros. (2018). </w:t>
      </w:r>
      <w:r>
        <w:rPr>
          <w:i/>
          <w:iCs/>
        </w:rPr>
        <w:t xml:space="preserve">Decreto Legislativo N.° 1412, Ley de Gobierno Digital</w:t>
      </w:r>
      <w:r>
        <w:t xml:space="preserve">. https://www.gob.pe/gobiernodigital</w:t>
      </w:r>
    </w:p>
    <w:p>
      <w:pPr>
        <w:pStyle w:val="Heading2"/>
        <w:spacing w:after="120" w:before="200" w:line="360"/>
      </w:pPr>
      <w:r>
        <w:t xml:space="preserve">Bases metodológicas y teóricas</w:t>
      </w:r>
    </w:p>
    <w:p>
      <w:pPr>
        <w:spacing w:after="0" w:line="360"/>
        <w:ind w:left="720" w:hanging="720"/>
        <w:jc w:val="left"/>
      </w:pPr>
      <w:r>
        <w:t xml:space="preserve">Aiken, L. R. (1985). Three coefficients for analyzing the reliability and validity of ratings. </w:t>
      </w:r>
      <w:r>
        <w:rPr>
          <w:i/>
          <w:iCs/>
        </w:rPr>
        <w:t xml:space="preserve">Educational and Psychological Measurement, 45</w:t>
      </w:r>
      <w:r>
        <w:t xml:space="preserve">(1), 131–142.</w:t>
      </w:r>
    </w:p>
    <w:p>
      <w:pPr>
        <w:spacing w:after="0" w:line="360"/>
        <w:ind w:left="720" w:hanging="720"/>
        <w:jc w:val="left"/>
      </w:pPr>
      <w:r>
        <w:t xml:space="preserve">Beck, K. (2000). </w:t>
      </w:r>
      <w:r>
        <w:rPr>
          <w:i/>
          <w:iCs/>
        </w:rPr>
        <w:t xml:space="preserve">Extreme Programming Explained: Embrace Change</w:t>
      </w:r>
      <w:r>
        <w:t xml:space="preserve">. Addison-Wesley.</w:t>
      </w:r>
    </w:p>
    <w:p>
      <w:pPr>
        <w:spacing w:after="0" w:line="360"/>
        <w:ind w:left="720" w:hanging="720"/>
        <w:jc w:val="left"/>
      </w:pPr>
      <w:r>
        <w:t xml:space="preserve">Brooke, J. (1996). SUS: A "quick and dirty" usability scale. En P. W. Jordan et al. (Eds.), </w:t>
      </w:r>
      <w:r>
        <w:rPr>
          <w:i/>
          <w:iCs/>
        </w:rPr>
        <w:t xml:space="preserve">Usability Evaluation in Industry</w:t>
      </w:r>
      <w:r>
        <w:t xml:space="preserve"> (pp. 189–194). Taylor &amp; Francis.</w:t>
      </w:r>
    </w:p>
    <w:p>
      <w:pPr>
        <w:spacing w:after="0" w:line="360"/>
        <w:ind w:left="720" w:hanging="720"/>
        <w:jc w:val="left"/>
      </w:pPr>
      <w:r>
        <w:t xml:space="preserve">Cronbach, L. J. (1951). Coefficient alpha and the internal structure of tests. </w:t>
      </w:r>
      <w:r>
        <w:rPr>
          <w:i/>
          <w:iCs/>
        </w:rPr>
        <w:t xml:space="preserve">Psychometrika, 16</w:t>
      </w:r>
      <w:r>
        <w:t xml:space="preserve">(3), 297–334.</w:t>
      </w:r>
    </w:p>
    <w:p>
      <w:pPr>
        <w:spacing w:after="0" w:line="360"/>
        <w:ind w:left="720" w:hanging="720"/>
        <w:jc w:val="left"/>
      </w:pPr>
      <w:r>
        <w:t xml:space="preserve">Evans, E. (2003). </w:t>
      </w:r>
      <w:r>
        <w:rPr>
          <w:i/>
          <w:iCs/>
        </w:rPr>
        <w:t xml:space="preserve">Domain-Driven Design: Tackling Complexity in the Heart of Software</w:t>
      </w:r>
      <w:r>
        <w:t xml:space="preserve">. Addison-Wesley.</w:t>
      </w:r>
    </w:p>
    <w:p>
      <w:pPr>
        <w:spacing w:after="0" w:line="360"/>
        <w:ind w:left="720" w:hanging="720"/>
        <w:jc w:val="left"/>
      </w:pPr>
      <w:r>
        <w:t xml:space="preserve">Hernández-Sampieri, R., Fernández, C., &amp; Baptista, P. (2014). </w:t>
      </w:r>
      <w:r>
        <w:rPr>
          <w:i/>
          <w:iCs/>
        </w:rPr>
        <w:t xml:space="preserve">Metodología de la investigación</w:t>
      </w:r>
      <w:r>
        <w:t xml:space="preserve"> (6.ª ed.). McGraw-Hill.</w:t>
      </w:r>
    </w:p>
    <w:p>
      <w:pPr>
        <w:spacing w:after="0" w:line="360"/>
        <w:ind w:left="720" w:hanging="720"/>
        <w:jc w:val="left"/>
      </w:pPr>
      <w:r>
        <w:t xml:space="preserve">Martin, R. C. (2017). </w:t>
      </w:r>
      <w:r>
        <w:rPr>
          <w:i/>
          <w:iCs/>
        </w:rPr>
        <w:t xml:space="preserve">Clean Architecture: A Craftsman's Guide to Software Structure and Design</w:t>
      </w:r>
      <w:r>
        <w:t xml:space="preserve">. Prentice Hall.</w:t>
      </w:r>
    </w:p>
    <w:p>
      <w:pPr>
        <w:spacing w:after="0" w:line="360"/>
        <w:ind w:left="720" w:hanging="720"/>
        <w:jc w:val="left"/>
      </w:pPr>
      <w:r>
        <w:t xml:space="preserve">Organización Internacional de Normalización. (2011). </w:t>
      </w:r>
      <w:r>
        <w:rPr>
          <w:i/>
          <w:iCs/>
        </w:rPr>
        <w:t xml:space="preserve">ISO/IEC 25010: Systems and software engineering — Systems and software Quality Requirements and Evaluation (SQuaRE)</w:t>
      </w:r>
      <w:r>
        <w:t xml:space="preserve">.</w:t>
      </w:r>
    </w:p>
    <w:p>
      <w:pPr>
        <w:spacing w:after="0" w:line="360"/>
        <w:ind w:left="720" w:hanging="720"/>
        <w:jc w:val="left"/>
      </w:pPr>
      <w:r>
        <w:t xml:space="preserve">Schwaber, K., &amp; Sutherland, J. (2020). </w:t>
      </w:r>
      <w:r>
        <w:rPr>
          <w:i/>
          <w:iCs/>
        </w:rPr>
        <w:t xml:space="preserve">La Guía de Scrum: Las reglas del juego</w:t>
      </w:r>
      <w:r>
        <w:t xml:space="preserve">. https://scrumguides.org</w:t>
      </w:r>
    </w:p>
    <w:p>
      <w:pPr>
        <w:pStyle w:val="Heading2"/>
        <w:spacing w:after="120" w:before="200" w:line="360"/>
      </w:pPr>
      <w:r>
        <w:t xml:space="preserve">Antecedentes nacionales</w:t>
      </w:r>
    </w:p>
    <w:p>
      <w:pPr>
        <w:spacing w:after="0" w:line="360"/>
        <w:ind w:left="720" w:hanging="720"/>
        <w:jc w:val="left"/>
      </w:pPr>
      <w:r>
        <w:t xml:space="preserve">⚠ Autor por completar. (2020). </w:t>
      </w:r>
      <w:r>
        <w:rPr>
          <w:i/>
          <w:iCs/>
        </w:rPr>
        <w:t xml:space="preserve">Sistema web de trámite documentario para la mejora de servicios a usuarios de la Unidad de Gestión Educativa Local – Tambopata 2020</w:t>
      </w:r>
      <w:r>
        <w:t xml:space="preserve"> [Tesis, Universidad Nacional Amazónica de Madre de Dios]. https://repositorio.unamad.edu.pe/handle/20.500.14070/894</w:t>
      </w:r>
    </w:p>
    <w:p>
      <w:pPr>
        <w:spacing w:after="0" w:line="360"/>
        <w:ind w:left="720" w:hanging="720"/>
        <w:jc w:val="left"/>
      </w:pPr>
      <w:r>
        <w:t xml:space="preserve">⚠ Autor por completar. </w:t>
      </w:r>
      <w:r>
        <w:rPr>
          <w:i/>
          <w:iCs/>
        </w:rPr>
        <w:t xml:space="preserve">Desarrollo e implementación de un sistema web basado en la metodología Scrum, para mejorar el proceso de autorizaciones e infracciones en la Dirección Regional de Transportes y Comunicaciones de Ayacucho</w:t>
      </w:r>
      <w:r>
        <w:t xml:space="preserve"> [Tesis, Universidad Autónoma del Perú]. https://repositorio.autonoma.edu.pe/handle/20.500.13067/1318</w:t>
      </w:r>
    </w:p>
    <w:p>
      <w:pPr>
        <w:spacing w:after="0" w:line="360"/>
        <w:ind w:left="720" w:hanging="720"/>
        <w:jc w:val="left"/>
      </w:pPr>
      <w:r>
        <w:t xml:space="preserve">⚠ Autor por completar. (2022). </w:t>
      </w:r>
      <w:r>
        <w:rPr>
          <w:i/>
          <w:iCs/>
        </w:rPr>
        <w:t xml:space="preserve">Sistema informático para mejorar la gestión de trámite documentario en el Gobierno Regional San Martín, Moyobamba 2022</w:t>
      </w:r>
      <w:r>
        <w:t xml:space="preserve"> [Tesis, Universidad César Vallejo]. https://alicia.concytec.gob.pe/vufind/Record/UCVV_b4772869c32af020a6fd2acc647db27a/Details</w:t>
      </w:r>
    </w:p>
    <w:p>
      <w:pPr>
        <w:spacing w:after="0" w:line="360"/>
        <w:ind w:left="720" w:hanging="720"/>
        <w:jc w:val="left"/>
      </w:pPr>
      <w:r>
        <w:t xml:space="preserve">⚠ Autor por completar. </w:t>
      </w:r>
      <w:r>
        <w:rPr>
          <w:i/>
          <w:iCs/>
        </w:rPr>
        <w:t xml:space="preserve">Sistema web para la emisión de licencias de funcionamiento de los negocios de riesgo bajo o medio en la Municipalidad de Puente Piedra</w:t>
      </w:r>
      <w:r>
        <w:t xml:space="preserve"> [Tesis, Universidad César Vallejo]. https://alicia.concytec.gob.pe/vufind/Record/UCVV_18118e9efa80033590b24515c321cfef</w:t>
      </w:r>
    </w:p>
    <w:p>
      <w:pPr>
        <w:spacing w:after="0" w:line="360"/>
        <w:ind w:left="720" w:hanging="720"/>
        <w:jc w:val="left"/>
      </w:pPr>
      <w:r>
        <w:t xml:space="preserve">⚠ Autor por completar. (2016). </w:t>
      </w:r>
      <w:r>
        <w:rPr>
          <w:i/>
          <w:iCs/>
        </w:rPr>
        <w:t xml:space="preserve">Implementación de un sistema web de gestión de trámite documentario para optimizar los procesos en el área de mesa de partes en la Municipalidad Distrital de Bellavista-Sullana</w:t>
      </w:r>
      <w:r>
        <w:t xml:space="preserve"> [Tesis, Universidad Católica Los Ángeles de Chimbote]. https://repositorio.uladech.edu.pe/handle/20.500.13032/2627</w:t>
      </w:r>
    </w:p>
    <w:p>
      <w:pPr>
        <w:spacing w:after="0" w:line="360"/>
        <w:ind w:left="720" w:hanging="720"/>
        <w:jc w:val="left"/>
      </w:pPr>
      <w:r>
        <w:t xml:space="preserve">⚠ Autor por completar. </w:t>
      </w:r>
      <w:r>
        <w:rPr>
          <w:i/>
          <w:iCs/>
        </w:rPr>
        <w:t xml:space="preserve">Modelo de mejoras de e-servicios municipales</w:t>
      </w:r>
      <w:r>
        <w:t xml:space="preserve"> [Trabajo de investigación, Universidad Peruana de Ciencias Aplicadas]. https://repositorioacademico.upc.edu.pe/handle/10757/624820</w:t>
      </w:r>
    </w:p>
    <w:p>
      <w:pPr>
        <w:pStyle w:val="Heading2"/>
        <w:spacing w:after="120" w:before="200" w:line="360"/>
      </w:pPr>
      <w:r>
        <w:t xml:space="preserve">Antecedentes internacionales</w:t>
      </w:r>
    </w:p>
    <w:p>
      <w:pPr>
        <w:spacing w:after="0" w:line="360"/>
        <w:ind w:left="720" w:hanging="720"/>
        <w:jc w:val="left"/>
      </w:pPr>
      <w:r>
        <w:t xml:space="preserve">Aguerre, C., et al. (2024). Open government, civic tech and digital platforms in Latin America: A governance study of Montevideo's urban app 'Por Mi Barrio'. </w:t>
      </w:r>
      <w:r>
        <w:rPr>
          <w:i/>
          <w:iCs/>
        </w:rPr>
        <w:t xml:space="preserve">Information Systems Journal</w:t>
      </w:r>
      <w:r>
        <w:t xml:space="preserve">. https://onlinelibrary.wiley.com/doi/10.1111/isj.12468</w:t>
      </w:r>
    </w:p>
    <w:p>
      <w:pPr>
        <w:spacing w:after="0" w:line="360"/>
        <w:ind w:left="720" w:hanging="720"/>
        <w:jc w:val="left"/>
      </w:pPr>
      <w:r>
        <w:t xml:space="preserve">⚠ Autor por completar. (2024). </w:t>
      </w:r>
      <w:r>
        <w:rPr>
          <w:i/>
          <w:iCs/>
        </w:rPr>
        <w:t xml:space="preserve">Citizen Trust in E-Government Strategies: Perspectives on E-Services at a South African Rural-Based Municipality</w:t>
      </w:r>
      <w:r>
        <w:t xml:space="preserve">. ResearchGate. https://www.researchgate.net/publication/393885536</w:t>
      </w:r>
    </w:p>
    <w:p>
      <w:pPr>
        <w:spacing w:after="0" w:line="360"/>
        <w:ind w:left="720" w:hanging="720"/>
        <w:jc w:val="left"/>
      </w:pPr>
      <w:r>
        <w:t xml:space="preserve">⚠ Autor por completar. (2025). E-Government and Public Trust in Developing Countries: A Systematic Review and Research Agenda. </w:t>
      </w:r>
      <w:r>
        <w:rPr>
          <w:i/>
          <w:iCs/>
        </w:rPr>
        <w:t xml:space="preserve">International Journal of Public Administration, 49</w:t>
      </w:r>
      <w:r>
        <w:t xml:space="preserve">(3). https://www.tandfonline.com/doi/full/10.1080/01900692.2025.2597453</w:t>
      </w:r>
    </w:p>
    <w:p>
      <w:pPr>
        <w:spacing w:after="0" w:line="360"/>
        <w:ind w:left="720" w:hanging="720"/>
        <w:jc w:val="left"/>
      </w:pPr>
      <w:r>
        <w:t xml:space="preserve">⚠ Autor por completar. (2024). Considerations for trustworthy cross-border interoperability of digital identity systems in developing countries. </w:t>
      </w:r>
      <w:r>
        <w:rPr>
          <w:i/>
          <w:iCs/>
        </w:rPr>
        <w:t xml:space="preserve">AI &amp; Society</w:t>
      </w:r>
      <w:r>
        <w:t xml:space="preserve">. https://link.springer.com/article/10.1007/s00146-024-02008-9</w:t>
      </w:r>
    </w:p>
    <w:p>
      <w:pPr>
        <w:spacing w:after="0" w:line="360"/>
        <w:ind w:left="720" w:hanging="720"/>
        <w:jc w:val="left"/>
      </w:pPr>
      <w:r>
        <w:t xml:space="preserve">Marjerison, R. K., et al. (2024). Public sector digitalization, corruption, and sustainability in the developing world: A scoping review. </w:t>
      </w:r>
      <w:r>
        <w:rPr>
          <w:i/>
          <w:iCs/>
        </w:rPr>
        <w:t xml:space="preserve">Sustainable Development</w:t>
      </w:r>
      <w:r>
        <w:t xml:space="preserve">. https://onlinelibrary.wiley.com/doi/10.1002/sd.2900</w:t>
      </w:r>
    </w:p>
    <w:p>
      <w:pPr>
        <w:spacing w:after="0" w:line="360"/>
        <w:ind w:left="720" w:hanging="720"/>
        <w:jc w:val="left"/>
      </w:pPr>
      <w:r>
        <w:t xml:space="preserve">Twizeyimana, J. D., et al. (2024). Issues and challenges of implementing e-governance in developing countries: A comprehensive analysis of civil service models. </w:t>
      </w:r>
      <w:r>
        <w:rPr>
          <w:i/>
          <w:iCs/>
        </w:rPr>
        <w:t xml:space="preserve">Cogent Business &amp; Management, 11</w:t>
      </w:r>
      <w:r>
        <w:t xml:space="preserve">(1). https://www.tandfonline.com/doi/full/10.1080/23311975.2024.2340579</w:t>
      </w:r>
    </w:p>
    <w:p>
      <w:pPr>
        <w:pStyle w:val="Heading2"/>
        <w:spacing w:after="120" w:before="200" w:line="360"/>
      </w:pPr>
      <w:r>
        <w:t xml:space="preserve">Fuentes estadísticas y de diagnóstico</w:t>
      </w:r>
    </w:p>
    <w:p>
      <w:pPr>
        <w:spacing w:after="0" w:line="360"/>
        <w:ind w:left="720" w:hanging="720"/>
        <w:jc w:val="left"/>
      </w:pPr>
      <w:r>
        <w:t xml:space="preserve">Defensoría del Pueblo. (2024). </w:t>
      </w:r>
      <w:r>
        <w:rPr>
          <w:i/>
          <w:iCs/>
        </w:rPr>
        <w:t xml:space="preserve">Reporte de casos de corrupción en trámite (segunda mitad de 2024)</w:t>
      </w:r>
      <w:r>
        <w:t xml:space="preserve">. https://www.defensoria.gob.pe/defensoria-del-pueblo-6152-son-los-casos-de-corrupcion-en-tramite-registrados-en-la-segunda-mitad-del-2024/</w:t>
      </w:r>
    </w:p>
    <w:p>
      <w:pPr>
        <w:spacing w:after="0" w:line="360"/>
        <w:ind w:left="720" w:hanging="720"/>
        <w:jc w:val="left"/>
      </w:pPr>
      <w:r>
        <w:t xml:space="preserve">Defensoría del Pueblo. (2022). </w:t>
      </w:r>
      <w:r>
        <w:rPr>
          <w:i/>
          <w:iCs/>
        </w:rPr>
        <w:t xml:space="preserve">Municipios fueron las entidades más quejadas en 2022 en Ayacucho</w:t>
      </w:r>
      <w:r>
        <w:t xml:space="preserve">. https://www.defensoria.gob.pe/defensoria-del-pueblo-municipios-fueron-entidades-mas-quejada-en-2022-en-ayacucho/</w:t>
      </w:r>
    </w:p>
    <w:p>
      <w:pPr>
        <w:spacing w:after="0" w:line="360"/>
        <w:ind w:left="720" w:hanging="720"/>
        <w:jc w:val="left"/>
      </w:pPr>
      <w:r>
        <w:t xml:space="preserve">Escuela de Administración de Negocios para Graduados (ESAN). (2024). </w:t>
      </w:r>
      <w:r>
        <w:rPr>
          <w:i/>
          <w:iCs/>
        </w:rPr>
        <w:t xml:space="preserve">Desafíos de la implementación del gobierno digital en las municipalidades</w:t>
      </w:r>
      <w:r>
        <w:t xml:space="preserve">. https://www.esan.edu.pe/conexion-esan/desafios-de-la-implementacion-del-gobierno-digital-en-las-municipalidades</w:t>
      </w:r>
    </w:p>
    <w:p>
      <w:pPr>
        <w:spacing w:after="0" w:line="360"/>
        <w:ind w:left="720" w:hanging="720"/>
        <w:jc w:val="left"/>
      </w:pPr>
      <w:r>
        <w:t xml:space="preserve">Gestión. (2024). </w:t>
      </w:r>
      <w:r>
        <w:rPr>
          <w:i/>
          <w:iCs/>
        </w:rPr>
        <w:t xml:space="preserve">Municipalidades generan 3 de cada 4 barreras burocráticas</w:t>
      </w:r>
      <w:r>
        <w:t xml:space="preserve">. https://gestion.pe/economia/municipalidades-generan-3-de-cada-4-barreras-burocraticas-las-cifras-por-desregular-shock-regulatorio-indecopi-mef-noticia/</w:t>
      </w:r>
    </w:p>
    <w:p>
      <w:pPr>
        <w:spacing w:after="0" w:line="360"/>
        <w:ind w:left="720" w:hanging="720"/>
        <w:jc w:val="left"/>
      </w:pPr>
      <w:r>
        <w:t xml:space="preserve">LexLatin. (2024). </w:t>
      </w:r>
      <w:r>
        <w:rPr>
          <w:i/>
          <w:iCs/>
        </w:rPr>
        <w:t xml:space="preserve">Ley 29733 de Perú: ¿qué cambios introduce el reglamento de protección de datos personales vigente?</w:t>
      </w:r>
      <w:r>
        <w:t xml:space="preserve"> https://lexlatin.com/entrevistas/ley-29733-cambios-reglamento-proteccion-datos--peru</w:t>
      </w:r>
    </w:p>
    <w:p>
      <w:pPr>
        <w:pageBreakBefore/>
      </w:pPr>
    </w:p>
    <w:p>
      <w:pPr>
        <w:pStyle w:val="Heading1"/>
        <w:spacing w:after="120" w:before="200" w:line="360"/>
      </w:pPr>
      <w:r>
        <w:t xml:space="preserve">Anexos</w:t>
      </w:r>
    </w:p>
    <w:p>
      <w:pPr>
        <w:pStyle w:val="Heading2"/>
        <w:spacing w:after="120" w:before="200" w:line="360"/>
      </w:pPr>
      <w:r>
        <w:t xml:space="preserve">Anexo 1. Matriz de Consistencia</w:t>
      </w:r>
    </w:p>
    <w:p>
      <w:pPr>
        <w:spacing w:after="0" w:line="360"/>
        <w:ind w:firstLine="720"/>
        <w:jc w:val="left"/>
      </w:pPr>
      <w:r>
        <w:t xml:space="preserve">Se presenta en el documento de Matriz de Consistencia (incluido en este informe), que articula problema, objetivos, variables, indicadores y metodología en una sola vista.</w:t>
      </w:r>
    </w:p>
    <w:p>
      <w:pPr>
        <w:pStyle w:val="Heading2"/>
        <w:spacing w:after="120" w:before="200" w:line="360"/>
      </w:pPr>
      <w:r>
        <w:t xml:space="preserve">Anexo 2. Instrumentos de recolección de datos</w:t>
      </w:r>
    </w:p>
    <w:p>
      <w:pPr>
        <w:pStyle w:val="Heading3"/>
        <w:spacing w:after="120" w:before="200" w:line="360"/>
      </w:pPr>
      <w:r>
        <w:t xml:space="preserve">2.1 Ficha de análisis documental (Variables X1 y X2)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N.°</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Elemento a verificar</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Existe / Opera</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Observación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 de requisitos (RF y RNF)</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Diagrama de arquitectura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Diagrama Entidad-Relación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Registros de decisiones (ADR)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Código fuente por módulo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Reporte de cobertura de pruebas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7</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Módulo de autenticación operativo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Módulo de autorización (RBAC) operativo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9</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Cifrado de datos personales operativo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Flujo del trámite operativo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Registro de auditoría operativo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Sí ☐ No</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bl>
    <w:p>
      <w:pPr>
        <w:spacing w:after="120"/>
      </w:pPr>
    </w:p>
    <w:p>
      <w:pPr>
        <w:pStyle w:val="Heading3"/>
        <w:spacing w:after="120" w:before="200" w:line="360"/>
      </w:pPr>
      <w:r>
        <w:t xml:space="preserve">2.2 Checklist de seguridad y protección de datos (Variable X3)</w:t>
      </w:r>
    </w:p>
    <w:p>
      <w:pPr>
        <w:spacing w:after="0" w:line="360"/>
        <w:ind w:firstLine="720"/>
        <w:jc w:val="left"/>
      </w:pPr>
      <w:r>
        <w:t xml:space="preserve">Escala: </w:t>
      </w:r>
      <w:r>
        <w:rPr>
          <w:b/>
          <w:bCs/>
        </w:rPr>
        <w:t xml:space="preserve">C</w:t>
      </w:r>
      <w:r>
        <w:t xml:space="preserve"> = Cumple · </w:t>
      </w:r>
      <w:r>
        <w:rPr>
          <w:b/>
          <w:bCs/>
        </w:rPr>
        <w:t xml:space="preserve">NC</w:t>
      </w:r>
      <w:r>
        <w:t xml:space="preserve"> = No cumple · </w:t>
      </w:r>
      <w:r>
        <w:rPr>
          <w:b/>
          <w:bCs/>
        </w:rPr>
        <w:t xml:space="preserve">NA</w:t>
      </w:r>
      <w:r>
        <w:t xml:space="preserve"> = No aplica.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N.°</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Control</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Fuente</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 / NC / NA</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Comunicación cifrada con TLS 1.3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OWASP / RNF-001</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Cifrado en reposo (TDE)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RNF-004</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Contraseñas con hash (bcrypt/PBKDF2)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OWASP / RNF-002</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Datos personales cifrados a nivel columna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Ley 29733 / RNF-003</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Control de acceso validado en servidor (RBAC)</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OWASP A01 / RNF-005</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Sin datos personales en logs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Ley 29733 / RNF-010</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7</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Errores sin exponer detalles internos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OWASP / RNF-006</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Tokens de vida corta y refresh rotativo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RNF-008</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9</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Registro de consentimiento del titular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Ley 29733 / RF-063</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Derechos ARCO + portabilidad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Ley 29733 / RF-060…064</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Notificación de incidentes de seguridad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D.S. 016-2024-JUS / RF-065</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Oficial de Datos Personales designado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D.S. 016-2024-JUS / RF-066</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Minimización de datos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Ley 29733 / RNF-011</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Auditoría inmutable de acciones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RF-070, RF-073</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bl>
    <w:p>
      <w:pPr>
        <w:spacing w:after="120"/>
      </w:pPr>
    </w:p>
    <w:p>
      <w:pPr>
        <w:pStyle w:val="Heading3"/>
        <w:spacing w:after="120" w:before="200" w:line="360"/>
      </w:pPr>
      <w:r>
        <w:t xml:space="preserve">2.3 Cuestionario de Usabilidad del Sistema (SUS) — Variable X4</w:t>
      </w:r>
    </w:p>
    <w:p>
      <w:pPr>
        <w:spacing w:after="0" w:line="360"/>
        <w:ind w:firstLine="720"/>
        <w:jc w:val="left"/>
      </w:pPr>
      <w:r>
        <w:t xml:space="preserve">Escala Likert de 5 puntos: 1 = Totalmente en desacuerdo … 5 = Totalmente de acuerdo.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N.°</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Ítem</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Creo que me gustaría usar este sistema con frecuencia.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2</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Encontré el sistema innecesariamente complejo.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3</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Pensé que el sistema era fácil de usar.</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4</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Creo que necesitaría el apoyo de un técnico para poder usar este sistema.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5</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Encontré que las diversas funciones del sistema estaban bien integradas.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6</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Pensé que había demasiada inconsistencia en el sistema.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7</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Imagino que la mayoría de las personas aprenderían a usar este sistema rápidamente.</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8</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Encontré el sistema muy engorroso de usar.</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9</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 sentí muy seguro al usar el sistema.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10</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Necesité aprender muchas cosas antes de poder empezar a usar el sistema.</w:t>
            </w:r>
          </w:p>
        </w:tc>
      </w:tr>
    </w:tbl>
    <w:p>
      <w:pPr>
        <w:spacing w:after="120"/>
      </w:pPr>
    </w:p>
    <w:p>
      <w:pPr>
        <w:pBdr>
          <w:left w:val="single" w:color="9CC3E0" w:sz="12" w:space="8"/>
        </w:pBdr>
        <w:spacing w:after="120" w:line="360"/>
        <w:ind w:left="720"/>
        <w:jc w:val="left"/>
      </w:pPr>
      <w:r>
        <w:rPr>
          <w:b/>
          <w:bCs/>
          <w:i/>
          <w:iCs/>
        </w:rPr>
        <w:t xml:space="preserve">Cálculo del puntaje SUS.</w:t>
      </w:r>
      <w:r>
        <w:rPr>
          <w:i/>
          <w:iCs/>
        </w:rPr>
        <w:t xml:space="preserve"> Para los ítems impares se resta 1 al valor marcado; para los ítems pares se resta el valor marcado a 5. Se suman las 10 contribuciones y el total se multiplica por 2,5, obteniendo un puntaje en el rango de 0 a 100.</w:t>
      </w:r>
    </w:p>
    <w:p>
      <w:pPr>
        <w:pStyle w:val="Heading2"/>
        <w:spacing w:after="120" w:before="200" w:line="360"/>
      </w:pPr>
      <w:r>
        <w:t xml:space="preserve">Anexo 3. Formato de validación por juicio de expertos</w:t>
      </w:r>
    </w:p>
    <w:p>
      <w:pPr>
        <w:spacing w:after="0" w:line="360"/>
        <w:ind w:firstLine="720"/>
        <w:jc w:val="left"/>
      </w:pPr>
      <w:r>
        <w:t xml:space="preserve">Cada experto evalúa cada ítem del instrumento en tres criterios (escala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Criterio</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Claridad</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El ítem se comprende fácilmente; su redacción es precisa.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Coherencia</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El ítem tiene relación lógica con la dimensión que mide.</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Relevancia</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El ítem es esencial y debe ser incluido.</w:t>
            </w:r>
          </w:p>
        </w:tc>
      </w:tr>
    </w:tbl>
    <w:p>
      <w:pPr>
        <w:spacing w:after="120"/>
      </w:pPr>
    </w:p>
    <w:p>
      <w:pPr>
        <w:spacing w:after="0" w:line="360"/>
        <w:ind w:firstLine="720"/>
        <w:jc w:val="left"/>
      </w:pPr>
      <w:r>
        <w:rPr>
          <w:b/>
          <w:bCs/>
        </w:rPr>
        <w:t xml:space="preserve">Datos del experto:</w:t>
      </w:r>
      <w:r>
        <w:t xml:space="preserve"> nombre completo, grado académico, especialidad, institución, años de experiencia y firma. </w:t>
      </w:r>
      <w:r>
        <w:rPr>
          <w:b/>
          <w:bCs/>
        </w:rPr>
        <w:t xml:space="preserve">Cálculo:</w:t>
      </w:r>
      <w:r>
        <w:t xml:space="preserve"> Coeficiente V de Aiken por ítem y global (criterio de aceptación V ≥ 0,80). Se adjuntan las constancias de validación firmadas por cada experto.</w:t>
      </w:r>
    </w:p>
    <w:p>
      <w:pPr>
        <w:pStyle w:val="Heading2"/>
        <w:spacing w:after="120" w:before="200" w:line="360"/>
      </w:pPr>
      <w:r>
        <w:t xml:space="preserve">Anexo 4. Historias de usuario del Product Backlog</w:t>
      </w:r>
    </w:p>
    <w:p>
      <w:pPr>
        <w:spacing w:after="0" w:line="360"/>
        <w:ind w:firstLine="720"/>
        <w:jc w:val="left"/>
      </w:pPr>
      <w:r>
        <w:t xml:space="preserve">Formato: </w:t>
      </w:r>
      <w:r>
        <w:rPr>
          <w:i/>
          <w:iCs/>
        </w:rPr>
        <w:t xml:space="preserve">Como [rol], quiero [acción], para [beneficio]</w:t>
      </w:r>
      <w:r>
        <w:t xml:space="preserve">. Se presenta el backlog completo, trazado a los requisitos funcionales.</w:t>
      </w:r>
    </w:p>
    <w:p>
      <w:pPr>
        <w:pStyle w:val="Heading3"/>
        <w:spacing w:after="120" w:before="200" w:line="360"/>
      </w:pPr>
      <w:r>
        <w:t xml:space="preserve">4.1 Módulo de gestión de identidad y acceso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ID</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Historia de usuario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Prioridad</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RF</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registrarme con verificación de correo, para acceder de forma segura.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RF-001</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usuario, quiero iniciar sesión con mis credenciales, para acceder a mis funciones.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RF-002</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bloquear la cuenta tras 5 intentos fallidos, para prevenir ataques.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RF-003</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recuperar mi contraseña por correo, para no perder el acceso.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RF-004</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funcionario, quiero autenticarme con segundo factor (MFA), para proteger mi cuenta.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RF-005</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administrador, quiero gestionar cuentas de funcionario y sus roles, para controlar el acceso.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RF-006</w:t>
            </w:r>
          </w:p>
        </w:tc>
      </w:tr>
    </w:tbl>
    <w:p>
      <w:pPr>
        <w:spacing w:after="120"/>
      </w:pPr>
    </w:p>
    <w:p>
      <w:pPr>
        <w:pStyle w:val="Heading3"/>
        <w:spacing w:after="120" w:before="200" w:line="360"/>
      </w:pPr>
      <w:r>
        <w:t xml:space="preserve">4.2 Módulo de configuración de trámites (TUPA)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ID</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Historia de usuario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Prioridad</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RF</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HU-07</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administrador, quiero crear un tipo de trámite con su tasa y área, para publicarlo.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RF-010</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administrador, quiero definir los documentos requeridos por trámite, para exigirlos.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RF-011</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HU-09</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administrador, quiero definir el flujo de aprobación por trámite, para enrutar el expediente.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RF-012</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administrador, quiero activar o desactivar un tipo de trámite, para gestionarlo sin borrarlo.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RF-013</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ver el catálogo de trámites con requisitos y costos, para saber qué necesito.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RF-014</w:t>
            </w:r>
          </w:p>
        </w:tc>
      </w:tr>
    </w:tbl>
    <w:p>
      <w:pPr>
        <w:spacing w:after="120"/>
      </w:pPr>
    </w:p>
    <w:p>
      <w:pPr>
        <w:pStyle w:val="Heading3"/>
        <w:spacing w:after="120" w:before="200" w:line="360"/>
      </w:pPr>
      <w:r>
        <w:t xml:space="preserve">4.3 Módulo de ciclo de vida del trámite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ID</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Historia de usuario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Prioridad</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RF</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iniciar un trámite completando un formulario, para solicitar el servicio.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RF-020</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adjuntar documentos a mi expediente, para cumplir los requisitos.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RF-021</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guardar un trámite como borrador, para retomarlo después.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RF-022</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enviar mi trámite, para que ingrese al flujo de atención.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RF-023</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mesa de partes, quiero verificar la admisibilidad, para aceptar o rechazar la recepción.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RF-024</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HU-17</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revisor, quiero evaluar el expediente, para registrar el resultado técnico.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RF-025</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revisor, quiero observar un trámite indicando qué subsanar, para que el ciudadano corrija.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RF-026</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HU-19</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subsanar una observación y reenviar, para continuar el trámite.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RF-027</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jefe de área, quiero aprobar o rechazar el trámite, para emitir la resolución.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RF-028</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impedir transiciones de estado inválidas, para mantener la integridad.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RF-029</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generar el documento resultante al aprobar, para entregar la constancia.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RF-030</w:t>
            </w:r>
          </w:p>
        </w:tc>
      </w:tr>
    </w:tbl>
    <w:p>
      <w:pPr>
        <w:spacing w:after="120"/>
      </w:pPr>
    </w:p>
    <w:p>
      <w:pPr>
        <w:pStyle w:val="Heading3"/>
        <w:spacing w:after="120" w:before="200" w:line="360"/>
      </w:pPr>
      <w:r>
        <w:t xml:space="preserve">4.4 Módulo de pagos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ID</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Historia de usuario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Prioridad</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RF</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calcular la tasa del trámite, para informar el monto a pagar.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RF-040</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registrar el pago de la tasa, para completar mi solicitud.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RF-041</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confirmar pago y cambio de estado de forma atómica, para evitar inconsistencias.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RF-042</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impedir el avance de un trámite impago, para asegurar el cobro.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RF-043</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HU-27</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descargar mi comprobante de pago, para tener constancia.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RF-044</w:t>
            </w:r>
          </w:p>
        </w:tc>
      </w:tr>
    </w:tbl>
    <w:p>
      <w:pPr>
        <w:spacing w:after="120"/>
      </w:pPr>
    </w:p>
    <w:p>
      <w:pPr>
        <w:pStyle w:val="Heading3"/>
        <w:spacing w:after="120" w:before="200" w:line="360"/>
      </w:pPr>
      <w:r>
        <w:t xml:space="preserve">4.5 Módulo de seguimiento y notificaciones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ID</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Historia de usuario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Prioridad</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RF</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consultar el estado de mis trámites en tiempo real, para conocer su avance.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RF-050</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HU-29</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notificar por correo cada cambio de estado, para mantener informado al ciudadano.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RF-051</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ver el historial de actuaciones de mi expediente, para tener trazabilidad.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RF-052</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alertar cuando un trámite observado esté por vencer, para evitar su caducidad.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Baja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RF-053</w:t>
            </w:r>
          </w:p>
        </w:tc>
      </w:tr>
    </w:tbl>
    <w:p>
      <w:pPr>
        <w:spacing w:after="120"/>
      </w:pPr>
    </w:p>
    <w:p>
      <w:pPr>
        <w:pStyle w:val="Heading3"/>
        <w:spacing w:after="120" w:before="200" w:line="360"/>
      </w:pPr>
      <w:r>
        <w:t xml:space="preserve">4.6 Módulo de protección de datos (derechos ARCO)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ID</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Historia de usuario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Prioridad</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RF</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exportar mis datos personales, para ejercer mi derecho de acceso y portabilidad.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RF-060</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HU-33</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rectificar mis datos personales, para mantenerlos exactos.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RF-061</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HU-34</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solicitar la cancelación de mis datos, para ejercer el derecho al olvido.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RF-062</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HU-35</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registrar el consentimiento del ciudadano, para cumplir la ley.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RF-063</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ciudadano, quiero revocar mi consentimiento, para ejercer mi derecho de oposición.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RF-064</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HU-37</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oficial de datos, quiero recibir la notificación de incidentes, para gestionarlos conforme a ley.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RF-065</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HU-38</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administrador, quiero designar un Oficial de Datos Personales, para cumplir la normativa.</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RF-066</w:t>
            </w:r>
          </w:p>
        </w:tc>
      </w:tr>
    </w:tbl>
    <w:p>
      <w:pPr>
        <w:spacing w:after="120"/>
      </w:pPr>
    </w:p>
    <w:p>
      <w:pPr>
        <w:pStyle w:val="Heading3"/>
        <w:spacing w:after="120" w:before="200" w:line="360"/>
      </w:pPr>
      <w:r>
        <w:t xml:space="preserve">4.7 Módulo de auditoría y reportes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ID</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Historia de usuario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Prioridad</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RF</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HU-39</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registrar en auditoría toda acción sobre un trámite, para garantizar trazabilidad.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RF-070</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HU-40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auditor, quiero consultar y filtrar el registro de auditoría, para fiscalizar.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RF-071</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HU-41</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jefe de área, quiero generar reportes por estado, tipo y periodo, para tomar decisiones.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Media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RF-072</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HU-42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Como sistema, quiero que el registro de auditoría sea inmutable, para su valor probatorio.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Alta</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RF-073</w:t>
            </w:r>
          </w:p>
        </w:tc>
      </w:tr>
    </w:tbl>
    <w:p>
      <w:pPr>
        <w:spacing w:after="120"/>
      </w:pPr>
    </w:p>
    <w:p>
      <w:pPr>
        <w:pStyle w:val="Heading2"/>
        <w:spacing w:after="120" w:before="200" w:line="360"/>
      </w:pPr>
      <w:r>
        <w:t xml:space="preserve">Anexo 5. Casos de uso detallados</w:t>
      </w:r>
    </w:p>
    <w:p>
      <w:pPr>
        <w:pStyle w:val="Heading3"/>
        <w:spacing w:after="120" w:before="200" w:line="360"/>
      </w:pPr>
      <w:r>
        <w:t xml:space="preserve">5.1 Caso de uso: Iniciar trámite</w:t>
      </w:r>
    </w:p>
    <w:p>
      <w:pPr>
        <w:pStyle w:val="ListParagraph"/>
        <w:numPr>
          <w:ilvl w:val="0"/>
          <w:numId w:val="2"/>
        </w:numPr>
        <w:spacing w:after="40" w:line="360"/>
      </w:pPr>
      <w:r>
        <w:rPr>
          <w:b/>
          <w:bCs/>
        </w:rPr>
        <w:t xml:space="preserve">Actor principal:</w:t>
      </w:r>
      <w:r>
        <w:t xml:space="preserve"> Ciudadano.</w:t>
      </w:r>
    </w:p>
    <w:p>
      <w:pPr>
        <w:pStyle w:val="ListParagraph"/>
        <w:numPr>
          <w:ilvl w:val="0"/>
          <w:numId w:val="2"/>
        </w:numPr>
        <w:spacing w:after="40" w:line="360"/>
      </w:pPr>
      <w:r>
        <w:rPr>
          <w:b/>
          <w:bCs/>
        </w:rPr>
        <w:t xml:space="preserve">Precondiciones:</w:t>
      </w:r>
      <w:r>
        <w:t xml:space="preserve"> el ciudadano está autenticado; existe al menos un tipo de trámite activo.</w:t>
      </w:r>
    </w:p>
    <w:p>
      <w:pPr>
        <w:pStyle w:val="ListParagraph"/>
        <w:numPr>
          <w:ilvl w:val="0"/>
          <w:numId w:val="2"/>
        </w:numPr>
        <w:spacing w:after="40" w:line="360"/>
      </w:pPr>
      <w:r>
        <w:rPr>
          <w:b/>
          <w:bCs/>
        </w:rPr>
        <w:t xml:space="preserve">Flujo principal:</w:t>
      </w:r>
    </w:p>
    <w:p>
      <w:pPr>
        <w:pStyle w:val="ListParagraph"/>
        <w:numPr>
          <w:ilvl w:val="0"/>
          <w:numId w:val="3"/>
        </w:numPr>
        <w:spacing w:after="40" w:line="360"/>
      </w:pPr>
      <w:r>
        <w:t xml:space="preserve">El ciudadano selecciona un tipo de trámite del catálogo.</w:t>
      </w:r>
    </w:p>
    <w:p>
      <w:pPr>
        <w:pStyle w:val="ListParagraph"/>
        <w:numPr>
          <w:ilvl w:val="0"/>
          <w:numId w:val="3"/>
        </w:numPr>
        <w:spacing w:after="40" w:line="360"/>
      </w:pPr>
      <w:r>
        <w:t xml:space="preserve">El sistema muestra los requisitos y la tasa.</w:t>
      </w:r>
    </w:p>
    <w:p>
      <w:pPr>
        <w:pStyle w:val="ListParagraph"/>
        <w:numPr>
          <w:ilvl w:val="0"/>
          <w:numId w:val="3"/>
        </w:numPr>
        <w:spacing w:after="40" w:line="360"/>
      </w:pPr>
      <w:r>
        <w:t xml:space="preserve">El ciudadano completa el formulario y adjunta los documentos requeridos.</w:t>
      </w:r>
    </w:p>
    <w:p>
      <w:pPr>
        <w:pStyle w:val="ListParagraph"/>
        <w:numPr>
          <w:ilvl w:val="0"/>
          <w:numId w:val="3"/>
        </w:numPr>
        <w:spacing w:after="40" w:line="360"/>
      </w:pPr>
      <w:r>
        <w:t xml:space="preserve">El ciudadano envía la solicitud.</w:t>
      </w:r>
    </w:p>
    <w:p>
      <w:pPr>
        <w:pStyle w:val="ListParagraph"/>
        <w:numPr>
          <w:ilvl w:val="0"/>
          <w:numId w:val="3"/>
        </w:numPr>
        <w:spacing w:after="40" w:line="360"/>
      </w:pPr>
      <w:r>
        <w:t xml:space="preserve">El sistema valida los datos, crea el expediente en estado </w:t>
      </w:r>
      <w:r>
        <w:rPr>
          <w:rFonts w:ascii="Courier New" w:cs="Courier New" w:eastAsia="Courier New" w:hAnsi="Courier New"/>
        </w:rPr>
        <w:t xml:space="preserve">Recibido</w:t>
      </w:r>
      <w:r>
        <w:t xml:space="preserve"> y registra el evento de auditoría.</w:t>
      </w:r>
    </w:p>
    <w:p>
      <w:pPr>
        <w:pStyle w:val="ListParagraph"/>
        <w:numPr>
          <w:ilvl w:val="0"/>
          <w:numId w:val="3"/>
        </w:numPr>
        <w:spacing w:after="40" w:line="360"/>
      </w:pPr>
      <w:r>
        <w:t xml:space="preserve">El sistema notifica al ciudadano por correo.</w:t>
      </w:r>
    </w:p>
    <w:p>
      <w:pPr>
        <w:pStyle w:val="ListParagraph"/>
        <w:numPr>
          <w:ilvl w:val="0"/>
          <w:numId w:val="2"/>
        </w:numPr>
        <w:spacing w:after="40" w:line="360"/>
      </w:pPr>
      <w:r>
        <w:rPr>
          <w:b/>
          <w:bCs/>
        </w:rPr>
        <w:t xml:space="preserve">Flujos alternativos:</w:t>
      </w:r>
      <w:r>
        <w:t xml:space="preserve"> si faltan documentos obligatorios, el sistema informa y no permite el envío; el ciudadano puede guardar como borrador (RF-022).</w:t>
      </w:r>
    </w:p>
    <w:p>
      <w:pPr>
        <w:pStyle w:val="ListParagraph"/>
        <w:numPr>
          <w:ilvl w:val="0"/>
          <w:numId w:val="2"/>
        </w:numPr>
        <w:spacing w:after="40" w:line="360"/>
      </w:pPr>
      <w:r>
        <w:rPr>
          <w:b/>
          <w:bCs/>
        </w:rPr>
        <w:t xml:space="preserve">Postcondiciones:</w:t>
      </w:r>
      <w:r>
        <w:t xml:space="preserve"> el expediente queda registrado y visible en el seguimiento del ciudadano.</w:t>
      </w:r>
    </w:p>
    <w:p>
      <w:pPr>
        <w:pStyle w:val="Heading3"/>
        <w:spacing w:after="120" w:before="200" w:line="360"/>
      </w:pPr>
      <w:r>
        <w:t xml:space="preserve">5.2 Caso de uso: Aprobar o rechazar trámite</w:t>
      </w:r>
    </w:p>
    <w:p>
      <w:pPr>
        <w:pStyle w:val="ListParagraph"/>
        <w:numPr>
          <w:ilvl w:val="0"/>
          <w:numId w:val="2"/>
        </w:numPr>
        <w:spacing w:after="40" w:line="360"/>
      </w:pPr>
      <w:r>
        <w:rPr>
          <w:b/>
          <w:bCs/>
        </w:rPr>
        <w:t xml:space="preserve">Actor principal:</w:t>
      </w:r>
      <w:r>
        <w:t xml:space="preserve"> Jefe de Área.</w:t>
      </w:r>
    </w:p>
    <w:p>
      <w:pPr>
        <w:pStyle w:val="ListParagraph"/>
        <w:numPr>
          <w:ilvl w:val="0"/>
          <w:numId w:val="2"/>
        </w:numPr>
        <w:spacing w:after="40" w:line="360"/>
      </w:pPr>
      <w:r>
        <w:rPr>
          <w:b/>
          <w:bCs/>
        </w:rPr>
        <w:t xml:space="preserve">Precondiciones:</w:t>
      </w:r>
      <w:r>
        <w:t xml:space="preserve"> el trámite está en estado </w:t>
      </w:r>
      <w:r>
        <w:rPr>
          <w:rFonts w:ascii="Courier New" w:cs="Courier New" w:eastAsia="Courier New" w:hAnsi="Courier New"/>
        </w:rPr>
        <w:t xml:space="preserve">EnRevision</w:t>
      </w:r>
      <w:r>
        <w:t xml:space="preserve">; el funcionario tiene el permiso </w:t>
      </w:r>
      <w:r>
        <w:rPr>
          <w:rFonts w:ascii="Courier New" w:cs="Courier New" w:eastAsia="Courier New" w:hAnsi="Courier New"/>
        </w:rPr>
        <w:t xml:space="preserve">tramite:aprobar</w:t>
      </w:r>
      <w:r>
        <w:t xml:space="preserve">.</w:t>
      </w:r>
    </w:p>
    <w:p>
      <w:pPr>
        <w:pStyle w:val="ListParagraph"/>
        <w:numPr>
          <w:ilvl w:val="0"/>
          <w:numId w:val="2"/>
        </w:numPr>
        <w:spacing w:after="40" w:line="360"/>
      </w:pPr>
      <w:r>
        <w:rPr>
          <w:b/>
          <w:bCs/>
        </w:rPr>
        <w:t xml:space="preserve">Flujo principal:</w:t>
      </w:r>
    </w:p>
    <w:p>
      <w:pPr>
        <w:pStyle w:val="ListParagraph"/>
        <w:numPr>
          <w:ilvl w:val="0"/>
          <w:numId w:val="3"/>
        </w:numPr>
        <w:spacing w:after="40" w:line="360"/>
      </w:pPr>
      <w:r>
        <w:t xml:space="preserve">El jefe de área abre el expediente asignado a su área.</w:t>
      </w:r>
    </w:p>
    <w:p>
      <w:pPr>
        <w:pStyle w:val="ListParagraph"/>
        <w:numPr>
          <w:ilvl w:val="0"/>
          <w:numId w:val="3"/>
        </w:numPr>
        <w:spacing w:after="40" w:line="360"/>
      </w:pPr>
      <w:r>
        <w:t xml:space="preserve">Revisa la evaluación del revisor y la documentación.</w:t>
      </w:r>
    </w:p>
    <w:p>
      <w:pPr>
        <w:pStyle w:val="ListParagraph"/>
        <w:numPr>
          <w:ilvl w:val="0"/>
          <w:numId w:val="3"/>
        </w:numPr>
        <w:spacing w:after="40" w:line="360"/>
      </w:pPr>
      <w:r>
        <w:t xml:space="preserve">Registra la decisión (aprobar o rechazar) con un comentario.</w:t>
      </w:r>
    </w:p>
    <w:p>
      <w:pPr>
        <w:pStyle w:val="ListParagraph"/>
        <w:numPr>
          <w:ilvl w:val="0"/>
          <w:numId w:val="3"/>
        </w:numPr>
        <w:spacing w:after="40" w:line="360"/>
      </w:pPr>
      <w:r>
        <w:t xml:space="preserve">El sistema valida la transición de estado, emite la resolución y registra la auditoría.</w:t>
      </w:r>
    </w:p>
    <w:p>
      <w:pPr>
        <w:pStyle w:val="ListParagraph"/>
        <w:numPr>
          <w:ilvl w:val="0"/>
          <w:numId w:val="3"/>
        </w:numPr>
        <w:spacing w:after="40" w:line="360"/>
      </w:pPr>
      <w:r>
        <w:t xml:space="preserve">El sistema notifica al ciudadano.</w:t>
      </w:r>
    </w:p>
    <w:p>
      <w:pPr>
        <w:pStyle w:val="ListParagraph"/>
        <w:numPr>
          <w:ilvl w:val="0"/>
          <w:numId w:val="2"/>
        </w:numPr>
        <w:spacing w:after="40" w:line="360"/>
      </w:pPr>
      <w:r>
        <w:rPr>
          <w:b/>
          <w:bCs/>
        </w:rPr>
        <w:t xml:space="preserve">Flujos alternativos:</w:t>
      </w:r>
      <w:r>
        <w:t xml:space="preserve"> si la transición es inválida, el sistema la rechaza (RF-029).</w:t>
      </w:r>
    </w:p>
    <w:p>
      <w:pPr>
        <w:pStyle w:val="ListParagraph"/>
        <w:numPr>
          <w:ilvl w:val="0"/>
          <w:numId w:val="2"/>
        </w:numPr>
        <w:spacing w:after="40" w:line="360"/>
      </w:pPr>
      <w:r>
        <w:rPr>
          <w:b/>
          <w:bCs/>
        </w:rPr>
        <w:t xml:space="preserve">Postcondiciones:</w:t>
      </w:r>
      <w:r>
        <w:t xml:space="preserve"> el trámite queda </w:t>
      </w:r>
      <w:r>
        <w:rPr>
          <w:rFonts w:ascii="Courier New" w:cs="Courier New" w:eastAsia="Courier New" w:hAnsi="Courier New"/>
        </w:rPr>
        <w:t xml:space="preserve">Aprobado</w:t>
      </w:r>
      <w:r>
        <w:t xml:space="preserve"> o </w:t>
      </w:r>
      <w:r>
        <w:rPr>
          <w:rFonts w:ascii="Courier New" w:cs="Courier New" w:eastAsia="Courier New" w:hAnsi="Courier New"/>
        </w:rPr>
        <w:t xml:space="preserve">Rechazado</w:t>
      </w:r>
      <w:r>
        <w:t xml:space="preserve"> con su resolución.</w:t>
      </w:r>
    </w:p>
    <w:p>
      <w:pPr>
        <w:pStyle w:val="Heading3"/>
        <w:spacing w:after="120" w:before="200" w:line="360"/>
      </w:pPr>
      <w:r>
        <w:t xml:space="preserve">5.3 Caso de uso: Registrar pago</w:t>
      </w:r>
    </w:p>
    <w:p>
      <w:pPr>
        <w:pStyle w:val="ListParagraph"/>
        <w:numPr>
          <w:ilvl w:val="0"/>
          <w:numId w:val="2"/>
        </w:numPr>
        <w:spacing w:after="40" w:line="360"/>
      </w:pPr>
      <w:r>
        <w:rPr>
          <w:b/>
          <w:bCs/>
        </w:rPr>
        <w:t xml:space="preserve">Actor principal:</w:t>
      </w:r>
      <w:r>
        <w:t xml:space="preserve"> Ciudadano.</w:t>
      </w:r>
    </w:p>
    <w:p>
      <w:pPr>
        <w:pStyle w:val="ListParagraph"/>
        <w:numPr>
          <w:ilvl w:val="0"/>
          <w:numId w:val="2"/>
        </w:numPr>
        <w:spacing w:after="40" w:line="360"/>
      </w:pPr>
      <w:r>
        <w:rPr>
          <w:b/>
          <w:bCs/>
        </w:rPr>
        <w:t xml:space="preserve">Precondiciones:</w:t>
      </w:r>
      <w:r>
        <w:t xml:space="preserve"> el trámite requiere pago de tasa y está pendiente de pago.</w:t>
      </w:r>
    </w:p>
    <w:p>
      <w:pPr>
        <w:pStyle w:val="ListParagraph"/>
        <w:numPr>
          <w:ilvl w:val="0"/>
          <w:numId w:val="2"/>
        </w:numPr>
        <w:spacing w:after="40" w:line="360"/>
      </w:pPr>
      <w:r>
        <w:rPr>
          <w:b/>
          <w:bCs/>
        </w:rPr>
        <w:t xml:space="preserve">Flujo principal:</w:t>
      </w:r>
    </w:p>
    <w:p>
      <w:pPr>
        <w:pStyle w:val="ListParagraph"/>
        <w:numPr>
          <w:ilvl w:val="0"/>
          <w:numId w:val="3"/>
        </w:numPr>
        <w:spacing w:after="40" w:line="360"/>
      </w:pPr>
      <w:r>
        <w:t xml:space="preserve">El ciudadano selecciona la opción de pago.</w:t>
      </w:r>
    </w:p>
    <w:p>
      <w:pPr>
        <w:pStyle w:val="ListParagraph"/>
        <w:numPr>
          <w:ilvl w:val="0"/>
          <w:numId w:val="3"/>
        </w:numPr>
        <w:spacing w:after="40" w:line="360"/>
      </w:pPr>
      <w:r>
        <w:t xml:space="preserve">El sistema calcula la tasa y redirige a la pasarela (modo prueba).</w:t>
      </w:r>
    </w:p>
    <w:p>
      <w:pPr>
        <w:pStyle w:val="ListParagraph"/>
        <w:numPr>
          <w:ilvl w:val="0"/>
          <w:numId w:val="3"/>
        </w:numPr>
        <w:spacing w:after="40" w:line="360"/>
      </w:pPr>
      <w:r>
        <w:t xml:space="preserve">La pasarela confirma el pago.</w:t>
      </w:r>
    </w:p>
    <w:p>
      <w:pPr>
        <w:pStyle w:val="ListParagraph"/>
        <w:numPr>
          <w:ilvl w:val="0"/>
          <w:numId w:val="3"/>
        </w:numPr>
        <w:spacing w:after="40" w:line="360"/>
      </w:pPr>
      <w:r>
        <w:t xml:space="preserve">El sistema, en una única transacción, marca el pago como confirmado y habilita el avance.</w:t>
      </w:r>
    </w:p>
    <w:p>
      <w:pPr>
        <w:pStyle w:val="ListParagraph"/>
        <w:numPr>
          <w:ilvl w:val="0"/>
          <w:numId w:val="3"/>
        </w:numPr>
        <w:spacing w:after="40" w:line="360"/>
      </w:pPr>
      <w:r>
        <w:t xml:space="preserve">El sistema genera el comprobante y registra la auditoría.</w:t>
      </w:r>
    </w:p>
    <w:p>
      <w:pPr>
        <w:pStyle w:val="ListParagraph"/>
        <w:numPr>
          <w:ilvl w:val="0"/>
          <w:numId w:val="2"/>
        </w:numPr>
        <w:spacing w:after="40" w:line="360"/>
      </w:pPr>
      <w:r>
        <w:rPr>
          <w:b/>
          <w:bCs/>
        </w:rPr>
        <w:t xml:space="preserve">Flujos alternativos:</w:t>
      </w:r>
      <w:r>
        <w:t xml:space="preserve"> si el pago falla, el estado permanece pendiente y se informa al ciudadano.</w:t>
      </w:r>
    </w:p>
    <w:p>
      <w:pPr>
        <w:pStyle w:val="ListParagraph"/>
        <w:numPr>
          <w:ilvl w:val="0"/>
          <w:numId w:val="2"/>
        </w:numPr>
        <w:spacing w:after="40" w:line="360"/>
      </w:pPr>
      <w:r>
        <w:rPr>
          <w:b/>
          <w:bCs/>
        </w:rPr>
        <w:t xml:space="preserve">Postcondiciones:</w:t>
      </w:r>
      <w:r>
        <w:t xml:space="preserve"> el trámite queda habilitado para continuar el flujo.</w:t>
      </w:r>
    </w:p>
    <w:p>
      <w:pPr>
        <w:pStyle w:val="Heading3"/>
        <w:spacing w:after="120" w:before="200" w:line="360"/>
      </w:pPr>
      <w:r>
        <w:t xml:space="preserve">5.4 Caso de uso: Ejercer derecho de acceso (ARCO)</w:t>
      </w:r>
    </w:p>
    <w:p>
      <w:pPr>
        <w:pStyle w:val="ListParagraph"/>
        <w:numPr>
          <w:ilvl w:val="0"/>
          <w:numId w:val="2"/>
        </w:numPr>
        <w:spacing w:after="40" w:line="360"/>
      </w:pPr>
      <w:r>
        <w:rPr>
          <w:b/>
          <w:bCs/>
        </w:rPr>
        <w:t xml:space="preserve">Actor principal:</w:t>
      </w:r>
      <w:r>
        <w:t xml:space="preserve"> Ciudadano.</w:t>
      </w:r>
    </w:p>
    <w:p>
      <w:pPr>
        <w:pStyle w:val="ListParagraph"/>
        <w:numPr>
          <w:ilvl w:val="0"/>
          <w:numId w:val="2"/>
        </w:numPr>
        <w:spacing w:after="40" w:line="360"/>
      </w:pPr>
      <w:r>
        <w:rPr>
          <w:b/>
          <w:bCs/>
        </w:rPr>
        <w:t xml:space="preserve">Precondiciones:</w:t>
      </w:r>
      <w:r>
        <w:t xml:space="preserve"> el ciudadano está autenticado.</w:t>
      </w:r>
    </w:p>
    <w:p>
      <w:pPr>
        <w:pStyle w:val="ListParagraph"/>
        <w:numPr>
          <w:ilvl w:val="0"/>
          <w:numId w:val="2"/>
        </w:numPr>
        <w:spacing w:after="40" w:line="360"/>
      </w:pPr>
      <w:r>
        <w:rPr>
          <w:b/>
          <w:bCs/>
        </w:rPr>
        <w:t xml:space="preserve">Flujo principal:</w:t>
      </w:r>
    </w:p>
    <w:p>
      <w:pPr>
        <w:pStyle w:val="ListParagraph"/>
        <w:numPr>
          <w:ilvl w:val="0"/>
          <w:numId w:val="3"/>
        </w:numPr>
        <w:spacing w:after="40" w:line="360"/>
      </w:pPr>
      <w:r>
        <w:t xml:space="preserve">El ciudadano solicita la exportación de sus datos personales.</w:t>
      </w:r>
    </w:p>
    <w:p>
      <w:pPr>
        <w:pStyle w:val="ListParagraph"/>
        <w:numPr>
          <w:ilvl w:val="0"/>
          <w:numId w:val="3"/>
        </w:numPr>
        <w:spacing w:after="40" w:line="360"/>
      </w:pPr>
      <w:r>
        <w:t xml:space="preserve">El sistema recopila los datos asociados a su identidad.</w:t>
      </w:r>
    </w:p>
    <w:p>
      <w:pPr>
        <w:pStyle w:val="ListParagraph"/>
        <w:numPr>
          <w:ilvl w:val="0"/>
          <w:numId w:val="3"/>
        </w:numPr>
        <w:spacing w:after="40" w:line="360"/>
      </w:pPr>
      <w:r>
        <w:t xml:space="preserve">El sistema genera un archivo en formato interoperable y lo entrega.</w:t>
      </w:r>
    </w:p>
    <w:p>
      <w:pPr>
        <w:pStyle w:val="ListParagraph"/>
        <w:numPr>
          <w:ilvl w:val="0"/>
          <w:numId w:val="3"/>
        </w:numPr>
        <w:spacing w:after="40" w:line="360"/>
      </w:pPr>
      <w:r>
        <w:t xml:space="preserve">El sistema registra la solicitud en la auditoría.</w:t>
      </w:r>
    </w:p>
    <w:p>
      <w:pPr>
        <w:pStyle w:val="ListParagraph"/>
        <w:numPr>
          <w:ilvl w:val="0"/>
          <w:numId w:val="2"/>
        </w:numPr>
        <w:spacing w:after="40" w:line="360"/>
      </w:pPr>
      <w:r>
        <w:rPr>
          <w:b/>
          <w:bCs/>
        </w:rPr>
        <w:t xml:space="preserve">Postcondiciones:</w:t>
      </w:r>
      <w:r>
        <w:t xml:space="preserve"> el ciudadano obtiene sus datos; queda constancia del ejercicio del derecho.</w:t>
      </w:r>
    </w:p>
    <w:p>
      <w:pPr>
        <w:pStyle w:val="Heading3"/>
        <w:spacing w:after="120" w:before="200" w:line="360"/>
      </w:pPr>
      <w:r>
        <w:t xml:space="preserve">5.5 Caso de uso: Autenticación con control de acceso</w:t>
      </w:r>
    </w:p>
    <w:p>
      <w:pPr>
        <w:pStyle w:val="ListParagraph"/>
        <w:numPr>
          <w:ilvl w:val="0"/>
          <w:numId w:val="2"/>
        </w:numPr>
        <w:spacing w:after="40" w:line="360"/>
      </w:pPr>
      <w:r>
        <w:rPr>
          <w:b/>
          <w:bCs/>
        </w:rPr>
        <w:t xml:space="preserve">Actor principal:</w:t>
      </w:r>
      <w:r>
        <w:t xml:space="preserve"> Usuario (cualquier rol).</w:t>
      </w:r>
    </w:p>
    <w:p>
      <w:pPr>
        <w:pStyle w:val="ListParagraph"/>
        <w:numPr>
          <w:ilvl w:val="0"/>
          <w:numId w:val="2"/>
        </w:numPr>
        <w:spacing w:after="40" w:line="360"/>
      </w:pPr>
      <w:r>
        <w:rPr>
          <w:b/>
          <w:bCs/>
        </w:rPr>
        <w:t xml:space="preserve">Flujo principal:</w:t>
      </w:r>
    </w:p>
    <w:p>
      <w:pPr>
        <w:pStyle w:val="ListParagraph"/>
        <w:numPr>
          <w:ilvl w:val="0"/>
          <w:numId w:val="3"/>
        </w:numPr>
        <w:spacing w:after="40" w:line="360"/>
      </w:pPr>
      <w:r>
        <w:t xml:space="preserve">El usuario ingresa sus credenciales.</w:t>
      </w:r>
    </w:p>
    <w:p>
      <w:pPr>
        <w:pStyle w:val="ListParagraph"/>
        <w:numPr>
          <w:ilvl w:val="0"/>
          <w:numId w:val="3"/>
        </w:numPr>
        <w:spacing w:after="40" w:line="360"/>
      </w:pPr>
      <w:r>
        <w:t xml:space="preserve">El sistema las valida y emite un JWT con sus </w:t>
      </w:r>
      <w:r>
        <w:rPr>
          <w:i/>
          <w:iCs/>
        </w:rPr>
        <w:t xml:space="preserve">claims</w:t>
      </w:r>
      <w:r>
        <w:t xml:space="preserve"> de permiso.</w:t>
      </w:r>
    </w:p>
    <w:p>
      <w:pPr>
        <w:pStyle w:val="ListParagraph"/>
        <w:numPr>
          <w:ilvl w:val="0"/>
          <w:numId w:val="3"/>
        </w:numPr>
        <w:spacing w:after="40" w:line="360"/>
      </w:pPr>
      <w:r>
        <w:t xml:space="preserve">En cada petición, el middleware valida el token y la política RBAC.</w:t>
      </w:r>
    </w:p>
    <w:p>
      <w:pPr>
        <w:pStyle w:val="ListParagraph"/>
        <w:numPr>
          <w:ilvl w:val="0"/>
          <w:numId w:val="3"/>
        </w:numPr>
        <w:spacing w:after="40" w:line="360"/>
      </w:pPr>
      <w:r>
        <w:t xml:space="preserve">Si el permiso es suficiente, se ejecuta la operación; si no, se deniega (HTTP 403).</w:t>
      </w:r>
    </w:p>
    <w:p>
      <w:pPr>
        <w:pStyle w:val="ListParagraph"/>
        <w:numPr>
          <w:ilvl w:val="0"/>
          <w:numId w:val="2"/>
        </w:numPr>
        <w:spacing w:after="40" w:line="360"/>
      </w:pPr>
      <w:r>
        <w:rPr>
          <w:b/>
          <w:bCs/>
        </w:rPr>
        <w:t xml:space="preserve">Flujos alternativos:</w:t>
      </w:r>
      <w:r>
        <w:t xml:space="preserve"> tras 5 intentos fallidos, la cuenta se bloquea (RF-003).</w:t>
      </w:r>
    </w:p>
    <w:p>
      <w:pPr>
        <w:pStyle w:val="Heading2"/>
        <w:spacing w:after="120" w:before="200" w:line="360"/>
      </w:pPr>
      <w:r>
        <w:t xml:space="preserve">Anexo 6. Diccionario de datos</w:t>
      </w:r>
    </w:p>
    <w:p>
      <w:pPr>
        <w:spacing w:after="0" w:line="360"/>
        <w:ind w:firstLine="720"/>
        <w:jc w:val="left"/>
      </w:pPr>
      <w:r>
        <w:t xml:space="preserve">Se describe la estructura de las principales entidades del modelo de datos. PK = clave primaria; FK = clave foránea.</w:t>
      </w:r>
    </w:p>
    <w:p>
      <w:pPr>
        <w:pStyle w:val="Heading3"/>
        <w:spacing w:after="120" w:before="200" w:line="360"/>
      </w:pPr>
      <w:r>
        <w:t xml:space="preserve">6.1 CIUDADANO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Campo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Tipo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Clave</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CiudadanoId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único del ciudadano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nvarchar(100)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Nombres del ciudadano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Apellidos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nvarchar(100)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Apellidos del ciudadano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Dni</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varbinary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DNI cifrado (determinista)</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Telefono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varbinary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Teléfono cifrado (aleatorio)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Correo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varbinary</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Correo cifrado (determinista)</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Direccion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Dirección (protegida por TDE)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EstaAnonimizado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bit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Indicador de derecho al olvido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CreadoUtc</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registro (UTC)</w:t>
            </w:r>
          </w:p>
        </w:tc>
      </w:tr>
    </w:tbl>
    <w:p>
      <w:pPr>
        <w:spacing w:after="120"/>
      </w:pPr>
    </w:p>
    <w:p>
      <w:pPr>
        <w:pStyle w:val="Heading3"/>
        <w:spacing w:after="120" w:before="200" w:line="360"/>
      </w:pPr>
      <w:r>
        <w:t xml:space="preserve">6.2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Campo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Tipo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Clave</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UsuarioId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usuario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UserName</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nvarchar(100)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 de usuario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PasswordHash</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nvarchar(256)</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Contraseña con hash (bcrypt/PBKDF2)</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MfaHabilitado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bit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Indicador de segundo factor</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IntentosFallidos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Contador de intentos fallidos</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Bloqueado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bit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 de bloqueo de la cuenta</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CreadoUtc</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creación (UTC)</w:t>
            </w:r>
          </w:p>
        </w:tc>
      </w:tr>
    </w:tbl>
    <w:p>
      <w:pPr>
        <w:spacing w:after="120"/>
      </w:pPr>
    </w:p>
    <w:p>
      <w:pPr>
        <w:pStyle w:val="Heading3"/>
        <w:spacing w:after="120" w:before="200" w:line="360"/>
      </w:pPr>
      <w:r>
        <w:t xml:space="preserve">6.3 ROL, PERMISO y tablas de relación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Entidad</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Campo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Tipo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Clave</w:t>
            </w:r>
          </w:p>
        </w:tc>
        <w:tc>
          <w:tcPr>
            <w:tcW w:type="dxa" w:w="180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rol</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nvarchar(50)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 del rol</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PERMISO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PermisoId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permiso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PERMISO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Codigo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nvarchar(50)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Código (p. ej. </w:t>
            </w:r>
            <w:r>
              <w:rPr>
                <w:rFonts w:ascii="Courier New" w:cs="Courier New" w:eastAsia="Courier New" w:hAnsi="Courier New"/>
              </w:rPr>
              <w:t xml:space="preserve">tramite:aprobar</w:t>
            </w:r>
            <w:r>
              <w:t xml:space="preserv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USUARIO_ROL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UsuarioId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Usuario asociado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USUARIO_ROL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 asignado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ROL_PERMISO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 asociado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ROL_PERMISO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PermisoId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Permiso incluido</w:t>
            </w:r>
          </w:p>
        </w:tc>
      </w:tr>
    </w:tbl>
    <w:p>
      <w:pPr>
        <w:spacing w:after="120"/>
      </w:pPr>
    </w:p>
    <w:p>
      <w:pPr>
        <w:pStyle w:val="Heading3"/>
        <w:spacing w:after="120" w:before="200" w:line="360"/>
      </w:pPr>
      <w:r>
        <w:t xml:space="preserve">6.4 TIPO_TRAMITE, REQUISITO_DOCUMENTO y PASO_FLUJO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Entidad</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Campo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Tipo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Clave</w:t>
            </w:r>
          </w:p>
        </w:tc>
        <w:tc>
          <w:tcPr>
            <w:tcW w:type="dxa" w:w="180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TIPO_TRAMITE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TipoTramiteId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tipo de trámite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TIPO_TRAMITE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nvarchar(150)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 del trámite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TIPO_TRAMITE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Descripcion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Descripción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TIPO_TRAMITE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AreaResponsable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nvarchar(100)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Área que lo atiende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TIPO_TRAMITE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Tasa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decimal(10,2)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Costo del trámite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TIPO_TRAMITE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Activo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Borrado lógico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REQUISITO_DOCUMENTO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RequisitoId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requisito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REQUISITO_DOCUMENTO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TipoTramiteId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 de trámite al que pertenece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REQUISITO_DOCUMENTO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nvarchar(150)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 requerido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REQUISITO_DOCUMENTO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Obligatorio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Si es obligatorio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PASO_FLUJO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PasoId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paso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PASO_FLUJO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TipoTramiteId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 de trámite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PASO_FLUJO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Orden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Orden del paso en el flujo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PASO_FLUJO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RolResponsableId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Rol responsable del paso</w:t>
            </w:r>
          </w:p>
        </w:tc>
      </w:tr>
    </w:tbl>
    <w:p>
      <w:pPr>
        <w:spacing w:after="120"/>
      </w:pPr>
    </w:p>
    <w:p>
      <w:pPr>
        <w:pStyle w:val="Heading3"/>
        <w:spacing w:after="120" w:before="200" w:line="360"/>
      </w:pPr>
      <w:r>
        <w:t xml:space="preserve">6.5 TRAMITE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Campo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Tipo</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Clave</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TramiteId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expediente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CiudadanoId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Ciudadano solicitante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TipoTramiteId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int</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Tipo de trámite</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 de la máquina de estados</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Codigo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nvarchar(30)</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Código público correlativo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CreadoUtc</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creación (UTC)</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RowVersion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rowversion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Control de concurrencia optimista</w:t>
            </w:r>
          </w:p>
        </w:tc>
      </w:tr>
    </w:tbl>
    <w:p>
      <w:pPr>
        <w:spacing w:after="120"/>
      </w:pPr>
    </w:p>
    <w:p>
      <w:pPr>
        <w:pStyle w:val="Heading3"/>
        <w:spacing w:after="120" w:before="200" w:line="360"/>
      </w:pPr>
      <w:r>
        <w:t xml:space="preserve">6.6 DOCUMENTO, PAGO, ACTUACION y RESOLUCION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Entidad</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Campo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Tipo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Clave</w:t>
            </w:r>
          </w:p>
        </w:tc>
        <w:tc>
          <w:tcPr>
            <w:tcW w:type="dxa" w:w="180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documento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TramiteId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Trámite asociado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NombreArchivo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Nombre del archivo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RutaAlmacenamiento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nvarchar(300)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Ruta de almacenamiento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HashSha256</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nvarchar(64)</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Hash de integridad</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SubidoUtc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subida (UTC)</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pago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TramiteId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Trámite asociado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Monto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decimal(10,2)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Monto pagado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Pendiente/Confirmado/Fallido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ReferenciaPasarela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nvarchar(100)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Referencia de la pasarela</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PAGO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del pago (UTC)</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ACTUACION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ActuacionId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 la actuación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ACTUACION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TramiteId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Trámite asociado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ACTUACION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EstadoAnterior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 previo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ACTUACION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EstadoNuevo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 resultante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ACTUACION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Comentario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Comentario de la actuación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ACTUACION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(UTC)</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RESOLUCION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ResolucionId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 la resolución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RESOLUCION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TramiteId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Trámite asociado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RESOLUCION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Sentido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Aprobado/Rechazado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RESOLUCION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RutaDocumento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nvarchar(300)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Ruta del documento emitido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RESOLUCION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EmitidaUtc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emisión (UTC)</w:t>
            </w:r>
          </w:p>
        </w:tc>
      </w:tr>
    </w:tbl>
    <w:p>
      <w:pPr>
        <w:spacing w:after="120"/>
      </w:pPr>
    </w:p>
    <w:p>
      <w:pPr>
        <w:pStyle w:val="Heading3"/>
        <w:spacing w:after="120" w:before="200" w:line="360"/>
      </w:pPr>
      <w:r>
        <w:t xml:space="preserve">6.7 CONSENTIMIENTO, EVENTO_AUDITORIA e INCIDENTE_SEGURIDAD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Entidad</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Campo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Tipo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Clave</w:t>
            </w:r>
          </w:p>
        </w:tc>
        <w:tc>
          <w:tcPr>
            <w:tcW w:type="dxa" w:w="180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consentimiento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CiudadanoId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Ciudadano titular</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Finalidad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Finalidad del tratamiento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Otorgado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bit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Si fue otorgado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otorgamiento (UTC)</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CONSENTIMIENTO</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RevocadoUtc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revocación (UTC)</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EVENTO_AUDITORIA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bigint</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evento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EVENTO_AUDITORIA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TramiteId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Trámite asociado</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EVENTO_AUDITORIA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UsuarioId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Usuario que ejecutó la acción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EVENTO_AUDITORIA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nvarchar(100)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Acción realizada</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EVENTO_AUDITORIA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DatosAntes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nvarchar(max)</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 previo (JSON, sin PII)</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EVENTO_AUDITORIA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DatosDespues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nvarchar(max)</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Estado posterior (JSON, sin PII)</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EVENTO_AUDITORIA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DireccionIp</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nvarchar(45)</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IP de origen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EVENTO_AUDITORIA</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del evento (UTC)</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INCIDENTE_SEGURIDAD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IncidenteId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Identificador del incidente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INCIDENTE_SEGURIDAD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Descripcion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nvarchar(500)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Descripción del incidente</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INCIDENTE_SEGURIDAD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Severidad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nvarchar(20)</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Nivel de severidad</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INCIDENTE_SEGURIDAD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DetectadoUtc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detección (UTC)</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INCIDENTE_SEGURIDAD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NotificadoUtc</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datetime2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Fecha de notificación (UTC)</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INCIDENTE_SEGURIDAD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ReportadoPorId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uniqueidentifier</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FK</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Usuario que reportó</w:t>
            </w:r>
          </w:p>
        </w:tc>
      </w:tr>
    </w:tbl>
    <w:p>
      <w:pPr>
        <w:spacing w:after="120"/>
      </w:pPr>
    </w:p>
    <w:p>
      <w:pPr>
        <w:pStyle w:val="Heading2"/>
        <w:spacing w:after="120" w:before="200" w:line="360"/>
      </w:pPr>
      <w:r>
        <w:t xml:space="preserve">Anexo 7. Entregables de ingeniería de software</w:t>
      </w:r>
    </w:p>
    <w:p>
      <w:pPr>
        <w:pStyle w:val="Heading3"/>
        <w:spacing w:after="120" w:before="200" w:line="360"/>
      </w:pPr>
      <w:r>
        <w:t xml:space="preserve">7.1 Diagrama de arquitectura</w:t>
      </w:r>
    </w:p>
    <w:p>
      <w:pPr>
        <w:spacing w:after="0" w:line="360"/>
        <w:ind w:firstLine="720"/>
        <w:jc w:val="left"/>
      </w:pPr>
      <w:r>
        <w:t xml:space="preserve">Se presenta la arquitectura en cuatro capas (Clean Architecture), con el pipeline de seguridad y la vista de componentes (ver documentación de ingeniería del proyecto).</w:t>
      </w:r>
    </w:p>
    <w:p>
      <w:pPr>
        <w:pStyle w:val="Heading3"/>
        <w:spacing w:after="120" w:before="200" w:line="360"/>
      </w:pPr>
      <w:r>
        <w:t xml:space="preserve">7.2 Diagrama Entidad-Relación (DER)</w:t>
      </w:r>
    </w:p>
    <w:p>
      <w:pPr>
        <w:spacing w:after="0" w:line="360"/>
        <w:ind w:firstLine="720"/>
        <w:jc w:val="left"/>
      </w:pPr>
      <w:r>
        <w:t xml:space="preserve">Se presenta el diagrama de las 17 entidades, con claves, índices, clasificación y cifrado de datos personales, y la tabla de auditoría inmutable.</w:t>
      </w:r>
    </w:p>
    <w:p>
      <w:pPr>
        <w:keepNext/>
        <w:spacing w:after="0" w:line="360"/>
        <w:jc w:val="left"/>
      </w:pPr>
      <w:r>
        <w:rPr>
          <w:b/>
          <w:bCs/>
        </w:rPr>
        <w:t xml:space="preserve">Figura 5</w:t>
      </w:r>
    </w:p>
    <w:p>
      <w:pPr>
        <w:spacing w:after="0" w:line="360"/>
        <w:ind w:firstLine="720"/>
        <w:jc w:val="left"/>
      </w:pPr>
      <w:r>
        <w:rPr>
          <w:i/>
          <w:iCs/>
        </w:rPr>
        <w:t xml:space="preserve">Diagrama Entidad-Relación (vista resumida en torno al agregado `Tramite`)</w:t>
      </w:r>
    </w:p>
    <w:p>
      <w:pPr>
        <w:spacing w:after="80" w:line="24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62275"/>
                    </a:xfrm>
                    <a:prstGeom prst="rect">
                      <a:avLst/>
                    </a:prstGeom>
                  </pic:spPr>
                </pic:pic>
              </a:graphicData>
            </a:graphic>
          </wp:inline>
        </w:drawing>
      </w:r>
    </w:p>
    <w:p>
      <w:pPr>
        <w:keepNext/>
        <w:spacing w:after="0" w:line="360"/>
        <w:jc w:val="left"/>
      </w:pPr>
      <w:r>
        <w:rPr>
          <w:i/>
          <w:iCs/>
        </w:rPr>
        <w:t xml:space="preserve">Nota.</w:t>
      </w:r>
      <w:r>
        <w:t xml:space="preserve"> Elaboración propia. El diagrama entidad-relación completo, con todos los atributos, claves e índices, se detalla en la documentación de ingeniería del proyecto (</w:t>
      </w:r>
      <w:r>
        <w:rPr>
          <w:rFonts w:ascii="Courier New" w:cs="Courier New" w:eastAsia="Courier New" w:hAnsi="Courier New"/>
        </w:rPr>
        <w:t xml:space="preserve">docs/modelo-datos.md</w:t>
      </w:r>
      <w:r>
        <w:t xml:space="preserve">).</w:t>
      </w:r>
    </w:p>
    <w:p>
      <w:pPr>
        <w:pStyle w:val="Heading3"/>
        <w:spacing w:after="120" w:before="200" w:line="360"/>
      </w:pPr>
      <w:r>
        <w:t xml:space="preserve">7.3 Registros de Decisiones de Arquitectura (ADR)</w:t>
      </w:r>
    </w:p>
    <w:p>
      <w:pPr>
        <w:spacing w:after="0" w:line="360"/>
        <w:ind w:firstLine="720"/>
        <w:jc w:val="left"/>
      </w:pPr>
      <w:r>
        <w:t xml:space="preserve">Se presentan los cinco ADR que justifican la metodología SDD, la Clean Architecture, la elección de SQL Server con EF Core, la estrategia de seguridad conforme a la Ley 29733 y el modelo de autenticación y autorización.</w:t>
      </w:r>
    </w:p>
    <w:p>
      <w:pPr>
        <w:pStyle w:val="Heading3"/>
        <w:spacing w:after="120" w:before="200" w:line="360"/>
      </w:pPr>
      <w:r>
        <w:t xml:space="preserve">7.4 Prototipos de interfaz</w:t>
      </w:r>
    </w:p>
    <w:p>
      <w:pPr>
        <w:spacing w:after="0" w:line="360"/>
        <w:ind w:firstLine="720"/>
        <w:jc w:val="left"/>
      </w:pPr>
      <w:r>
        <w:rPr>
          <w:i/>
          <w:iCs/>
        </w:rPr>
        <w:t xml:space="preserve">(Pendiente de elaboración en la fase de construcción: pantallas de registro, catálogo de trámites, formulario de solicitud, seguimiento de estado y bandeja del funcionario.)</w:t>
      </w:r>
    </w:p>
    <w:p>
      <w:pPr>
        <w:pageBreakBefore/>
      </w:pPr>
    </w:p>
    <w:p>
      <w:pPr>
        <w:pStyle w:val="Heading1"/>
        <w:spacing w:after="120" w:before="200" w:line="360"/>
      </w:pPr>
      <w:r>
        <w:t xml:space="preserve">Matriz de Consistencia — SITRAM</w:t>
      </w:r>
    </w:p>
    <w:p>
      <w:pPr>
        <w:pBdr>
          <w:left w:val="single" w:color="9CC3E0" w:sz="12" w:space="8"/>
        </w:pBdr>
        <w:spacing w:after="120" w:line="360"/>
        <w:ind w:left="720"/>
        <w:jc w:val="left"/>
      </w:pPr>
      <w:r>
        <w:rPr>
          <w:i/>
          <w:iCs/>
        </w:rPr>
        <w:t xml:space="preserve">Instrumento que articula, en una sola vista, la coherencia lógica entre problema, objetivos, hipótesis, variables e indicadores y metodología. Es la base transversal del informe (se incluye como </w:t>
      </w:r>
      <w:r>
        <w:rPr>
          <w:b/>
          <w:bCs/>
          <w:i/>
          <w:iCs/>
        </w:rPr>
        <w:t xml:space="preserve">Anexo 1</w:t>
      </w:r>
      <w:r>
        <w:rPr>
          <w:i/>
          <w:iCs/>
        </w:rPr>
        <w:t xml:space="preserve">) y garantiza que los cinco capítulos sean coherentes.</w:t>
      </w:r>
    </w:p>
    <w:p>
      <w:pPr>
        <w:spacing w:after="0" w:line="360"/>
        <w:ind w:firstLine="720"/>
        <w:jc w:val="left"/>
      </w:pPr>
      <w:r>
        <w:rPr>
          <w:b/>
          <w:bCs/>
        </w:rPr>
        <w:t xml:space="preserve">Título:</w:t>
      </w:r>
      <w:r>
        <w:t xml:space="preserve"> Desarrollo de una plataforma web para la gestión de trámites municipales con enfoque en seguridad y protección de datos personales, 2026.</w:t>
      </w:r>
    </w:p>
    <w:p>
      <w:pPr>
        <w:pStyle w:val="Heading2"/>
        <w:spacing w:after="120" w:before="200" w:line="360"/>
      </w:pPr>
      <w:r>
        <w:t xml:space="preserve">1. Problemas, objetivos e hipótesis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tblHeader/>
        </w:trPr>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PROBLEMAS</w:t>
            </w:r>
          </w:p>
        </w:tc>
        <w:tc>
          <w:tcPr>
            <w:tcW w:type="dxa" w:w="300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OBJETIVOS</w:t>
            </w:r>
          </w:p>
        </w:tc>
        <w:tc>
          <w:tcPr>
            <w:tcW w:type="dxa" w:w="3010"/>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HIPÓTESIS</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General</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General</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General</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¿Cuáles son los resultados del desarrollo de una plataforma web para la gestión de trámites municipales con enfoque en seguridad y protección de datos personales, 2026?</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Desarrollar una plataforma web para la gestión de trámites municipales con enfoque en seguridad y protección de datos personales, que digitalice el ciclo completo del trámite y garantice la trazabilidad y confidencialidad de la información.</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Por tratarse de una investigación </w:t>
            </w:r>
            <w:r>
              <w:rPr>
                <w:b/>
                <w:bCs/>
              </w:rPr>
              <w:t xml:space="preserve">aplicada de nivel descriptivo</w:t>
            </w:r>
            <w:r>
              <w:t xml:space="preserve">, no se formula hipótesis contrastable (Hernández-Sampieri et al., 2014). Se plantea el supuesto de que la plataforma cumplirá técnicamente sus módulos críticos y alcanzará un nivel de usabilidad aceptable.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Específicos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Específicos</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PE1. ¿Cuáles son los resultados de la fase de </w:t>
            </w:r>
            <w:r>
              <w:rPr>
                <w:b/>
                <w:bCs/>
              </w:rPr>
              <w:t xml:space="preserve">análisis</w:t>
            </w:r>
            <w:r>
              <w:t xml:space="preserve"> del desarrollo de la plataforma?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OE1. Determinar los resultados de la fase de análisis (requisitos funcionales y no funcionales).</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PE2. ¿Cuáles son los resultados de la fase de </w:t>
            </w:r>
            <w:r>
              <w:rPr>
                <w:b/>
                <w:bCs/>
              </w:rPr>
              <w:t xml:space="preserve">diseño</w:t>
            </w:r>
            <w:r>
              <w:t xml:space="preserve"> (arquitectura, seguridad y datos)?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OE2. Determinar los resultados de la fase de diseño (arquitectura, modelo de datos y controles de seguridad).</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PE3. ¿Cuáles son los resultados de la fase de </w:t>
            </w:r>
            <w:r>
              <w:rPr>
                <w:b/>
                <w:bCs/>
              </w:rPr>
              <w:t xml:space="preserve">implementación</w:t>
            </w:r>
            <w:r>
              <w:t xml:space="preserve"> de los módulos?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OE3. Determinar los resultados de la fase de implementación de los módulos del sistema.</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PE4. ¿Cuál es el nivel de cumplimiento del </w:t>
            </w:r>
            <w:r>
              <w:rPr>
                <w:b/>
                <w:bCs/>
              </w:rPr>
              <w:t xml:space="preserve">funcionamiento</w:t>
            </w:r>
            <w:r>
              <w:t xml:space="preserve"> de los módulos críticos?</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OE4. Validar el correcto funcionamiento de los módulos críticos (autenticación, autorización, cifrado, flujo de trámite y auditoría).</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PE5. ¿Cuál es el nivel de cumplimiento de los controles de </w:t>
            </w:r>
            <w:r>
              <w:rPr>
                <w:b/>
                <w:bCs/>
              </w:rPr>
              <w:t xml:space="preserve">seguridad y protección de datos</w:t>
            </w:r>
            <w:r>
              <w:t xml:space="preserve"> (Ley 29733)?</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OE5. Evaluar el cumplimiento de los controles de seguridad y protección de datos personales conforme a la Ley N.° 29733 y su reglamento.</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r>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PE6. ¿Cuál es el nivel de </w:t>
            </w:r>
            <w:r>
              <w:rPr>
                <w:b/>
                <w:bCs/>
              </w:rPr>
              <w:t xml:space="preserve">usabilidad</w:t>
            </w:r>
            <w:r>
              <w:t xml:space="preserve"> de la plataforma?</w:t>
            </w:r>
          </w:p>
        </w:tc>
        <w:tc>
          <w:tcPr>
            <w:tcW w:type="dxa" w:w="300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OE6. Evaluar la usabilidad de la plataforma mediante la participación de usuarios piloto.</w:t>
            </w:r>
          </w:p>
        </w:tc>
        <w:tc>
          <w:tcPr>
            <w:tcW w:type="dxa" w:w="301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w:t>
            </w:r>
          </w:p>
        </w:tc>
      </w:tr>
    </w:tbl>
    <w:p>
      <w:pPr>
        <w:spacing w:after="120"/>
      </w:pPr>
    </w:p>
    <w:p>
      <w:pPr>
        <w:pStyle w:val="Heading2"/>
        <w:spacing w:after="120" w:before="200" w:line="360"/>
      </w:pPr>
      <w:r>
        <w:t xml:space="preserve">2. Variables, dimensiones e indicadores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VARIABLE</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DIMENSIÓN</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INDICADORES</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INSTRUMENTO</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X1. Desarrollo del software</w:t>
            </w:r>
            <w:r>
              <w:t xml:space="preserve"> (proceso)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Análisis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 de requisitos funcionales y no funcionales identificados; historias de usuario definidas</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Diseño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Diagramas de arquitectura y ER elaborados; ADR registrados; controles de seguridad diseñados</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Implementación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 de módulos implementados; cobertura de pruebas (%)</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X2. Funcionamiento</w:t>
            </w:r>
            <w:r>
              <w:t xml:space="preserve"> (producto)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Operatividad de módulos críticos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de módulos que operan sin excepción (autenticación, RBAC, cifrado, flujo, auditoría, pagos)</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 / pruebas</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X3. Seguridad y protección de datos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Cumplimiento de controles</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 de controles OWASP/ASVS implementados; % de requisitos de la Ley 29733 cubiertos (cifrado, ARCO, auditoría, notificación de incidentes)</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Lista de verificación (checklist)</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X4. Usabilidad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Percepción del usuario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Puntaje promedio en la Escala de Usabilidad del Sistema (SUS)</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Cuestionario SUS</w:t>
            </w:r>
          </w:p>
        </w:tc>
      </w:tr>
    </w:tbl>
    <w:p>
      <w:pPr>
        <w:spacing w:after="120"/>
      </w:pPr>
    </w:p>
    <w:p>
      <w:pPr>
        <w:pBdr>
          <w:left w:val="single" w:color="9CC3E0" w:sz="12" w:space="8"/>
        </w:pBdr>
        <w:spacing w:after="120" w:line="360"/>
        <w:ind w:left="720"/>
        <w:jc w:val="left"/>
      </w:pPr>
      <w:r>
        <w:rPr>
          <w:b/>
          <w:bCs/>
          <w:i/>
          <w:iCs/>
        </w:rPr>
        <w:t xml:space="preserve">Definición operacional.</w:t>
      </w:r>
      <w:r>
        <w:rPr>
          <w:i/>
          <w:iCs/>
        </w:rPr>
        <w:t xml:space="preserve"> X1 mide el </w:t>
      </w:r>
      <w:r>
        <w:rPr>
          <w:i/>
          <w:iCs/>
        </w:rPr>
        <w:t xml:space="preserve">proceso</w:t>
      </w:r>
      <w:r>
        <w:rPr>
          <w:i/>
          <w:iCs/>
        </w:rPr>
        <w:t xml:space="preserve"> de ingeniería (fases y entregables); X2 y X3 miden el </w:t>
      </w:r>
      <w:r>
        <w:rPr>
          <w:i/>
          <w:iCs/>
        </w:rPr>
        <w:t xml:space="preserve">producto</w:t>
      </w:r>
      <w:r>
        <w:rPr>
          <w:i/>
          <w:iCs/>
        </w:rPr>
        <w:t xml:space="preserve"> (qué tan bien funciona y qué tan seguro es); X4 mide la </w:t>
      </w:r>
      <w:r>
        <w:rPr>
          <w:i/>
          <w:iCs/>
        </w:rPr>
        <w:t xml:space="preserve">experiencia</w:t>
      </w:r>
      <w:r>
        <w:rPr>
          <w:i/>
          <w:iCs/>
        </w:rPr>
        <w:t xml:space="preserve"> del usuario. Este esquema replica y amplía el del modelo del grupo de calidad, añadiendo la variable de </w:t>
      </w:r>
      <w:r>
        <w:rPr>
          <w:b/>
          <w:bCs/>
          <w:i/>
          <w:iCs/>
        </w:rPr>
        <w:t xml:space="preserve">seguridad y protección de datos</w:t>
      </w:r>
      <w:r>
        <w:rPr>
          <w:i/>
          <w:iCs/>
        </w:rPr>
        <w:t xml:space="preserve"> por su relevancia en el dominio municipal.</w:t>
      </w:r>
    </w:p>
    <w:p>
      <w:pPr>
        <w:pStyle w:val="Heading2"/>
        <w:spacing w:after="120" w:before="200" w:line="360"/>
      </w:pPr>
      <w:r>
        <w:t xml:space="preserve">3. Metodología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ASPECTO</w:t>
            </w:r>
          </w:p>
        </w:tc>
        <w:tc>
          <w:tcPr>
            <w:tcW w:type="dxa" w:w="4513"/>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DESCRIPCIÓN</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Tipo de investigación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Aplicada – tecnológica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Nivel</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Descriptivo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Enfoque</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Cuantitativo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Diseño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No experimental, de corte transversal</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Metodología de desarrollo</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Spec-Driven Development (SDD)</w:t>
            </w:r>
            <w:r>
              <w:t xml:space="preserve"> con GitHub Spec Kit como </w:t>
            </w:r>
            <w:r>
              <w:rPr>
                <w:b/>
                <w:bCs/>
              </w:rPr>
              <w:t xml:space="preserve">núcleo obligatorio</w:t>
            </w:r>
            <w:r>
              <w:t xml:space="preserve">, complementado con las prácticas más óptimas: </w:t>
            </w:r>
            <w:r>
              <w:rPr>
                <w:b/>
                <w:bCs/>
              </w:rPr>
              <w:t xml:space="preserve">Scrum</w:t>
            </w:r>
            <w:r>
              <w:t xml:space="preserve"> (gestión iterativa de las fases) y </w:t>
            </w:r>
            <w:r>
              <w:rPr>
                <w:b/>
                <w:bCs/>
              </w:rPr>
              <w:t xml:space="preserve">XP / Extreme Programming</w:t>
            </w:r>
            <w:r>
              <w:t xml:space="preserve"> (calidad del código)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Ámbito / caso de referencia</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Planteamiento </w:t>
            </w:r>
            <w:r>
              <w:rPr>
                <w:b/>
                <w:bCs/>
              </w:rPr>
              <w:t xml:space="preserve">general</w:t>
            </w:r>
            <w:r>
              <w:t xml:space="preserve"> para la gestión de trámites municipales; se toma como </w:t>
            </w:r>
            <w:r>
              <w:rPr>
                <w:b/>
                <w:bCs/>
              </w:rPr>
              <w:t xml:space="preserve">caso de aplicación de referencia</w:t>
            </w:r>
            <w:r>
              <w:t xml:space="preserve"> la </w:t>
            </w:r>
            <w:r>
              <w:rPr>
                <w:b/>
                <w:bCs/>
              </w:rPr>
              <w:t xml:space="preserve">Municipalidad Distrital de San Juan Bautista (Ayacucho)</w:t>
            </w:r>
            <w:r>
              <w:t xml:space="preserve"> para contextualizar y validar el diseño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Población</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Trámites y usuarios del ámbito municipal (ciudadanos y funcionarios)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Muestra</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Muestra piloto no probabilística por conveniencia (20 usuarios) para la evaluación de usabilidad. Se incluye como </w:t>
            </w:r>
            <w:r>
              <w:rPr>
                <w:b/>
                <w:bCs/>
              </w:rPr>
              <w:t xml:space="preserve">diseño metodológico propuesto</w:t>
            </w:r>
            <w:r>
              <w:t xml:space="preserve"> que refuerza la validez del estudio</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Técnicas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Análisis documental, observación, encuesta</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Instrumentos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 checklist de seguridad (OWASP/Ley 29733), cuestionario SUS</w:t>
            </w:r>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Validación de instrumentos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Validez de contenido por </w:t>
            </w:r>
            <w:r>
              <w:rPr>
                <w:b/>
                <w:bCs/>
              </w:rPr>
              <w:t xml:space="preserve">juicio de expertos</w:t>
            </w:r>
            <w:r>
              <w:t xml:space="preserve"> (V de Aiken ≥ 0.80) y confiabilidad por </w:t>
            </w:r>
            <w:r>
              <w:rPr>
                <w:b/>
                <w:bCs/>
              </w:rPr>
              <w:t xml:space="preserve">Alfa de Cronbach</w:t>
            </w:r>
            <w:r>
              <w:t xml:space="preserve"> (≥ 0.70). Ver </w:t>
            </w:r>
            <w:hyperlink w:history="1" r:id="rId7hmx8sldstovhpnan3s8g">
              <w:r>
                <w:rPr>
                  <w:rStyle w:val="Hyperlink"/>
                </w:rPr>
                <w:t xml:space="preserve">validación de instrumentos</w:t>
              </w:r>
            </w:hyperlink>
          </w:p>
        </w:tc>
      </w:tr>
      <w:tr>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Herramientas</w:t>
            </w:r>
          </w:p>
        </w:tc>
        <w:tc>
          <w:tcPr>
            <w:tcW w:type="dxa" w:w="4513"/>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.NET 10, C# 14, Blazor, SQL Server 2022, EF Core 10, xUnit, Serilog</w:t>
            </w:r>
          </w:p>
        </w:tc>
      </w:tr>
    </w:tbl>
    <w:p>
      <w:pPr>
        <w:spacing w:after="120"/>
      </w:pPr>
    </w:p>
    <w:p>
      <w:pPr>
        <w:pStyle w:val="Heading2"/>
        <w:spacing w:after="120" w:before="200" w:line="360"/>
      </w:pPr>
      <w:r>
        <w:t xml:space="preserve">4. Coherencia (lectura horizontal)</w:t>
      </w:r>
    </w:p>
    <w:p>
      <w:pPr>
        <w:spacing w:after="0" w:line="360"/>
        <w:ind w:firstLine="720"/>
        <w:jc w:val="left"/>
      </w:pPr>
      <w:r>
        <w:t xml:space="preserve">Cada problema específico (PE) tiene </w:t>
      </w:r>
      <w:r>
        <w:rPr>
          <w:b/>
          <w:bCs/>
        </w:rPr>
        <w:t xml:space="preserve">un</w:t>
      </w:r>
      <w:r>
        <w:t xml:space="preserve"> objetivo específico (OE) que lo responde, medido por </w:t>
      </w:r>
      <w:r>
        <w:rPr>
          <w:b/>
          <w:bCs/>
        </w:rPr>
        <w:t xml:space="preserve">una</w:t>
      </w:r>
      <w:r>
        <w:t xml:space="preserve"> variable con indicadores concretos:</w:t>
      </w:r>
    </w:p>
    <w:p>
      <w:pPr>
        <w:spacing w:after="0" w:line="240"/>
      </w:pPr>
      <w:r>
        <w:rPr>
          <w:rFonts w:ascii="Courier New" w:cs="Courier New" w:eastAsia="Courier New" w:hAnsi="Courier New"/>
          <w:sz w:val="16"/>
          <w:szCs w:val="16"/>
        </w:rPr>
        <w:t xml:space="preserve">PE1 → OE1 → X1 (Análisis)          medido por: N.º requisitos, historias de usuario</w:t>
      </w:r>
    </w:p>
    <w:p>
      <w:pPr>
        <w:spacing w:after="0" w:line="240"/>
      </w:pPr>
      <w:r>
        <w:rPr>
          <w:rFonts w:ascii="Courier New" w:cs="Courier New" w:eastAsia="Courier New" w:hAnsi="Courier New"/>
          <w:sz w:val="16"/>
          <w:szCs w:val="16"/>
        </w:rPr>
        <w:t xml:space="preserve">PE2 → OE2 → X1 (Diseño)            medido por: diagramas, ADR, controles diseñados</w:t>
      </w:r>
    </w:p>
    <w:p>
      <w:pPr>
        <w:spacing w:after="0" w:line="240"/>
      </w:pPr>
      <w:r>
        <w:rPr>
          <w:rFonts w:ascii="Courier New" w:cs="Courier New" w:eastAsia="Courier New" w:hAnsi="Courier New"/>
          <w:sz w:val="16"/>
          <w:szCs w:val="16"/>
        </w:rPr>
        <w:t xml:space="preserve">PE3 → OE3 → X1 (Implementación)    medido por: módulos, cobertura de pruebas</w:t>
      </w:r>
    </w:p>
    <w:p>
      <w:pPr>
        <w:spacing w:after="0" w:line="240"/>
      </w:pPr>
      <w:r>
        <w:rPr>
          <w:rFonts w:ascii="Courier New" w:cs="Courier New" w:eastAsia="Courier New" w:hAnsi="Courier New"/>
          <w:sz w:val="16"/>
          <w:szCs w:val="16"/>
        </w:rPr>
        <w:t xml:space="preserve">PE4 → OE4 → X2 (Funcionamiento)    medido por: % módulos operativos</w:t>
      </w:r>
    </w:p>
    <w:p>
      <w:pPr>
        <w:spacing w:after="0" w:line="240"/>
      </w:pPr>
      <w:r>
        <w:rPr>
          <w:rFonts w:ascii="Courier New" w:cs="Courier New" w:eastAsia="Courier New" w:hAnsi="Courier New"/>
          <w:sz w:val="16"/>
          <w:szCs w:val="16"/>
        </w:rPr>
        <w:t xml:space="preserve">PE5 → OE5 → X3 (Seguridad/datos)   medido por: % controles OWASP/Ley 29733</w:t>
      </w:r>
    </w:p>
    <w:p>
      <w:pPr>
        <w:spacing w:after="0" w:line="240"/>
      </w:pPr>
      <w:r>
        <w:rPr>
          <w:rFonts w:ascii="Courier New" w:cs="Courier New" w:eastAsia="Courier New" w:hAnsi="Courier New"/>
          <w:sz w:val="16"/>
          <w:szCs w:val="16"/>
        </w:rPr>
        <w:t xml:space="preserve">PE6 → OE6 → X4 (Usabilidad)        medido por: puntaje SUS</w:t>
      </w:r>
    </w:p>
    <w:p>
      <w:pPr>
        <w:spacing w:after="80"/>
      </w:pPr>
    </w:p>
    <w:p>
      <w:pPr>
        <w:spacing w:after="0" w:line="360"/>
        <w:ind w:firstLine="720"/>
        <w:jc w:val="left"/>
      </w:pPr>
      <w:r>
        <w:t xml:space="preserve">Esta trazabilidad se mantiene en todo el informe: los indicadores se reportan como </w:t>
      </w:r>
      <w:r>
        <w:rPr>
          <w:b/>
          <w:bCs/>
        </w:rPr>
        <w:t xml:space="preserve">resultados</w:t>
      </w:r>
      <w:r>
        <w:t xml:space="preserve"> en el Capítulo IV.</w:t>
      </w:r>
    </w:p>
    <w:p>
      <w:pPr>
        <w:pageBreakBefore/>
      </w:pPr>
    </w:p>
    <w:p>
      <w:pPr>
        <w:pStyle w:val="Heading1"/>
        <w:spacing w:after="120" w:before="200" w:line="360"/>
      </w:pPr>
      <w:r>
        <w:t xml:space="preserve">Validación y confiabilidad de los instrumentos — SITRAM</w:t>
      </w:r>
    </w:p>
    <w:p>
      <w:pPr>
        <w:pBdr>
          <w:left w:val="single" w:color="9CC3E0" w:sz="12" w:space="8"/>
        </w:pBdr>
        <w:spacing w:after="120" w:line="360"/>
        <w:ind w:left="720"/>
        <w:jc w:val="left"/>
      </w:pPr>
      <w:r>
        <w:rPr>
          <w:i/>
          <w:iCs/>
        </w:rPr>
        <w:t xml:space="preserve">La credibilidad de los resultados depende de que los instrumentos de medición sean </w:t>
      </w:r>
      <w:r>
        <w:rPr>
          <w:b/>
          <w:bCs/>
          <w:i/>
          <w:iCs/>
        </w:rPr>
        <w:t xml:space="preserve">válidos</w:t>
      </w:r>
      <w:r>
        <w:rPr>
          <w:i/>
          <w:iCs/>
        </w:rPr>
        <w:t xml:space="preserve"> (miden lo que dicen medir) y </w:t>
      </w:r>
      <w:r>
        <w:rPr>
          <w:b/>
          <w:bCs/>
          <w:i/>
          <w:iCs/>
        </w:rPr>
        <w:t xml:space="preserve">confiables</w:t>
      </w:r>
      <w:r>
        <w:rPr>
          <w:i/>
          <w:iCs/>
        </w:rPr>
        <w:t xml:space="preserve"> (miden de forma consistente). Este documento define cómo se </w:t>
      </w:r>
      <w:r>
        <w:rPr>
          <w:b/>
          <w:bCs/>
          <w:i/>
          <w:iCs/>
        </w:rPr>
        <w:t xml:space="preserve">valida y acepta</w:t>
      </w:r>
      <w:r>
        <w:rPr>
          <w:i/>
          <w:iCs/>
        </w:rPr>
        <w:t xml:space="preserve"> cada instrumento antes de aplicarlo. Alimenta el Capítulo III (Material y Métodos) y los Anexos (formatos de validación).</w:t>
      </w:r>
    </w:p>
    <w:p>
      <w:pPr>
        <w:pStyle w:val="Heading2"/>
        <w:spacing w:after="120" w:before="200" w:line="360"/>
      </w:pPr>
      <w:r>
        <w:t xml:space="preserve">1. Marco de validación</w:t>
      </w:r>
    </w:p>
    <w:p>
      <w:pPr>
        <w:spacing w:after="0" w:line="360"/>
        <w:ind w:firstLine="720"/>
        <w:jc w:val="left"/>
      </w:pPr>
      <w:r>
        <w:t xml:space="preserve">Todo instrumento se somete a dos pruebas antes de considerarse apto: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Propiedad</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Qué garantiza</w:t>
            </w:r>
          </w:p>
        </w:tc>
        <w:tc>
          <w:tcPr>
            <w:tcW w:type="dxa" w:w="225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Método</w:t>
            </w:r>
          </w:p>
        </w:tc>
        <w:tc>
          <w:tcPr>
            <w:tcW w:type="dxa" w:w="2258"/>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Criterio de aceptación</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Validez de contenido</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Que los ítems representan lo que se quiere medir</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Juicio de expertos</w:t>
            </w:r>
            <w:r>
              <w:t xml:space="preserve"> cuantificado con </w:t>
            </w:r>
            <w:r>
              <w:rPr>
                <w:b/>
                <w:bCs/>
              </w:rPr>
              <w:t xml:space="preserve">Coeficiente V de Aiken</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V ≥ 0.80</w:t>
            </w:r>
            <w:r>
              <w:t xml:space="preserve"> por ítem y global</w:t>
            </w:r>
          </w:p>
        </w:tc>
      </w:tr>
      <w:tr>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Confiabilidad</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Consistencia de la medición</w:t>
            </w:r>
          </w:p>
        </w:tc>
        <w:tc>
          <w:tcPr>
            <w:tcW w:type="dxa" w:w="225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Alfa de Cronbach</w:t>
            </w:r>
            <w:r>
              <w:t xml:space="preserve"> sobre prueba piloto (para escalas tipo Likert)</w:t>
            </w:r>
          </w:p>
        </w:tc>
        <w:tc>
          <w:tcPr>
            <w:tcW w:type="dxa" w:w="2258"/>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rPr>
                <w:b/>
                <w:bCs/>
              </w:rPr>
              <w:t xml:space="preserve">α ≥ 0.70</w:t>
            </w:r>
          </w:p>
        </w:tc>
      </w:tr>
    </w:tbl>
    <w:p>
      <w:pPr>
        <w:spacing w:after="120"/>
      </w:pPr>
    </w:p>
    <w:p>
      <w:pPr>
        <w:pBdr>
          <w:left w:val="single" w:color="9CC3E0" w:sz="12" w:space="8"/>
        </w:pBdr>
        <w:spacing w:after="120" w:line="360"/>
        <w:ind w:left="720"/>
        <w:jc w:val="left"/>
      </w:pPr>
      <w:r>
        <w:rPr>
          <w:i/>
          <w:iCs/>
        </w:rPr>
        <w:t xml:space="preserve">Referencias metodológicas: Hernández-Sampieri et al. (2014); Aiken (1985); Cronbach (1951).</w:t>
      </w:r>
    </w:p>
    <w:p>
      <w:pPr>
        <w:pStyle w:val="Heading2"/>
        <w:spacing w:after="120" w:before="200" w:line="360"/>
      </w:pPr>
      <w:r>
        <w:t xml:space="preserve">2. Panel de expertos (juicio de expertos)</w:t>
      </w:r>
    </w:p>
    <w:p>
      <w:pPr>
        <w:pStyle w:val="ListParagraph"/>
        <w:numPr>
          <w:ilvl w:val="0"/>
          <w:numId w:val="2"/>
        </w:numPr>
        <w:spacing w:after="40" w:line="360"/>
      </w:pPr>
      <w:r>
        <w:rPr>
          <w:b/>
          <w:bCs/>
        </w:rPr>
        <w:t xml:space="preserve">Cantidad</w:t>
      </w:r>
      <w:r>
        <w:t xml:space="preserve">: mínimo </w:t>
      </w:r>
      <w:r>
        <w:rPr>
          <w:b/>
          <w:bCs/>
        </w:rPr>
        <w:t xml:space="preserve">3 expertos</w:t>
      </w:r>
      <w:r>
        <w:t xml:space="preserve"> (recomendado 3–5).</w:t>
      </w:r>
    </w:p>
    <w:p>
      <w:pPr>
        <w:pStyle w:val="ListParagraph"/>
        <w:numPr>
          <w:ilvl w:val="0"/>
          <w:numId w:val="2"/>
        </w:numPr>
        <w:spacing w:after="40" w:line="360"/>
      </w:pPr>
      <w:r>
        <w:rPr>
          <w:b/>
          <w:bCs/>
        </w:rPr>
        <w:t xml:space="preserve">Perfil</w:t>
      </w:r>
      <w:r>
        <w:t xml:space="preserve">: docentes/profesionales con grado de magíster o doctor en </w:t>
      </w:r>
      <w:r>
        <w:rPr>
          <w:b/>
          <w:bCs/>
        </w:rPr>
        <w:t xml:space="preserve">Ingeniería de Software</w:t>
      </w:r>
      <w:r>
        <w:t xml:space="preserve">, </w:t>
      </w:r>
      <w:r>
        <w:rPr>
          <w:b/>
          <w:bCs/>
        </w:rPr>
        <w:t xml:space="preserve">Seguridad de la Información</w:t>
      </w:r>
      <w:r>
        <w:t xml:space="preserve"> o </w:t>
      </w:r>
      <w:r>
        <w:rPr>
          <w:b/>
          <w:bCs/>
        </w:rPr>
        <w:t xml:space="preserve">Protección de Datos</w:t>
      </w:r>
      <w:r>
        <w:t xml:space="preserve">.</w:t>
      </w:r>
    </w:p>
    <w:p>
      <w:pPr>
        <w:pStyle w:val="ListParagraph"/>
        <w:numPr>
          <w:ilvl w:val="0"/>
          <w:numId w:val="2"/>
        </w:numPr>
        <w:spacing w:after="40" w:line="360"/>
      </w:pPr>
      <w:r>
        <w:rPr>
          <w:b/>
          <w:bCs/>
        </w:rPr>
        <w:t xml:space="preserve">Procedimiento</w:t>
      </w:r>
      <w:r>
        <w:t xml:space="preserve">: cada experto recibe la matriz de consistencia, el instrumento y una </w:t>
      </w:r>
      <w:r>
        <w:rPr>
          <w:b/>
          <w:bCs/>
        </w:rPr>
        <w:t xml:space="preserve">ficha de validación</w:t>
      </w:r>
      <w:r>
        <w:t xml:space="preserve"> donde califica cada ítem en tres criterios: </w:t>
      </w:r>
      <w:r>
        <w:rPr>
          <w:b/>
          <w:bCs/>
        </w:rPr>
        <w:t xml:space="preserve">claridad</w:t>
      </w:r>
      <w:r>
        <w:t xml:space="preserve">, </w:t>
      </w:r>
      <w:r>
        <w:rPr>
          <w:b/>
          <w:bCs/>
        </w:rPr>
        <w:t xml:space="preserve">coherencia</w:t>
      </w:r>
      <w:r>
        <w:t xml:space="preserve"> y </w:t>
      </w:r>
      <w:r>
        <w:rPr>
          <w:b/>
          <w:bCs/>
        </w:rPr>
        <w:t xml:space="preserve">relevancia</w:t>
      </w:r>
      <w:r>
        <w:t xml:space="preserve"> (escala 1–4 o "Sí/No").</w:t>
      </w:r>
    </w:p>
    <w:p>
      <w:pPr>
        <w:pStyle w:val="ListParagraph"/>
        <w:numPr>
          <w:ilvl w:val="0"/>
          <w:numId w:val="2"/>
        </w:numPr>
        <w:spacing w:after="40" w:line="360"/>
      </w:pPr>
      <w:r>
        <w:rPr>
          <w:b/>
          <w:bCs/>
        </w:rPr>
        <w:t xml:space="preserve">Resultado</w:t>
      </w:r>
      <w:r>
        <w:t xml:space="preserve">: se calcula la </w:t>
      </w:r>
      <w:r>
        <w:rPr>
          <w:b/>
          <w:bCs/>
        </w:rPr>
        <w:t xml:space="preserve">V de Aiken</w:t>
      </w:r>
      <w:r>
        <w:t xml:space="preserve"> por ítem; los ítems con V &lt; 0.80 se </w:t>
      </w:r>
      <w:r>
        <w:rPr>
          <w:b/>
          <w:bCs/>
        </w:rPr>
        <w:t xml:space="preserve">corrigen o eliminan</w:t>
      </w:r>
      <w:r>
        <w:t xml:space="preserve">. Se adjunta la </w:t>
      </w:r>
      <w:r>
        <w:rPr>
          <w:b/>
          <w:bCs/>
        </w:rPr>
        <w:t xml:space="preserve">constancia de validación</w:t>
      </w:r>
      <w:r>
        <w:t xml:space="preserve"> firmada por cada experto (Anexo).</w:t>
      </w:r>
    </w:p>
    <w:p>
      <w:pPr>
        <w:pStyle w:val="Heading3"/>
        <w:spacing w:after="120" w:before="200" w:line="360"/>
      </w:pPr>
      <w:r>
        <w:t xml:space="preserve">Fórmula V de Aiken</w:t>
      </w:r>
    </w:p>
    <w:p>
      <w:pPr>
        <w:spacing w:after="0" w:line="240"/>
      </w:pPr>
      <w:r>
        <w:rPr>
          <w:rFonts w:ascii="Courier New" w:cs="Courier New" w:eastAsia="Courier New" w:hAnsi="Courier New"/>
          <w:sz w:val="16"/>
          <w:szCs w:val="16"/>
        </w:rPr>
        <w:t xml:space="preserve">        S</w:t>
      </w:r>
    </w:p>
    <w:p>
      <w:pPr>
        <w:spacing w:after="0" w:line="240"/>
      </w:pPr>
      <w:r>
        <w:rPr>
          <w:rFonts w:ascii="Courier New" w:cs="Courier New" w:eastAsia="Courier New" w:hAnsi="Courier New"/>
          <w:sz w:val="16"/>
          <w:szCs w:val="16"/>
        </w:rPr>
        <w:t xml:space="preserve">V = ───────────</w:t>
      </w:r>
    </w:p>
    <w:p>
      <w:pPr>
        <w:spacing w:after="0" w:line="240"/>
      </w:pPr>
      <w:r>
        <w:rPr>
          <w:rFonts w:ascii="Courier New" w:cs="Courier New" w:eastAsia="Courier New" w:hAnsi="Courier New"/>
          <w:sz w:val="16"/>
          <w:szCs w:val="16"/>
        </w:rPr>
        <w:t xml:space="preserve">    n · (c − 1)</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S = sumatoria de las valoraciones asignadas por los jueces</w:t>
      </w:r>
    </w:p>
    <w:p>
      <w:pPr>
        <w:spacing w:after="0" w:line="240"/>
      </w:pPr>
      <w:r>
        <w:rPr>
          <w:rFonts w:ascii="Courier New" w:cs="Courier New" w:eastAsia="Courier New" w:hAnsi="Courier New"/>
          <w:sz w:val="16"/>
          <w:szCs w:val="16"/>
        </w:rPr>
        <w:t xml:space="preserve">n = número de jueces</w:t>
      </w:r>
    </w:p>
    <w:p>
      <w:pPr>
        <w:spacing w:after="0" w:line="240"/>
      </w:pPr>
      <w:r>
        <w:rPr>
          <w:rFonts w:ascii="Courier New" w:cs="Courier New" w:eastAsia="Courier New" w:hAnsi="Courier New"/>
          <w:sz w:val="16"/>
          <w:szCs w:val="16"/>
        </w:rPr>
        <w:t xml:space="preserve">c = número de valores de la escala</w:t>
      </w:r>
    </w:p>
    <w:p>
      <w:pPr>
        <w:spacing w:after="80"/>
      </w:pPr>
    </w:p>
    <w:p>
      <w:pPr>
        <w:pStyle w:val="Heading2"/>
        <w:spacing w:after="120" w:before="200" w:line="360"/>
      </w:pPr>
      <w:r>
        <w:t xml:space="preserve">3. Instrumentos del proyecto y su validación</w:t>
      </w:r>
    </w:p>
    <w:p>
      <w:pPr>
        <w:pStyle w:val="Heading3"/>
        <w:spacing w:after="120" w:before="200" w:line="360"/>
      </w:pPr>
      <w:r>
        <w:t xml:space="preserve">3.1 Cuestionario de Usabilidad (Escala SUS) — variable X4</w:t>
      </w:r>
    </w:p>
    <w:p>
      <w:pPr>
        <w:pStyle w:val="ListParagraph"/>
        <w:numPr>
          <w:ilvl w:val="0"/>
          <w:numId w:val="2"/>
        </w:numPr>
        <w:spacing w:after="40" w:line="360"/>
      </w:pPr>
      <w:r>
        <w:rPr>
          <w:b/>
          <w:bCs/>
        </w:rPr>
        <w:t xml:space="preserve">Naturaleza</w:t>
      </w:r>
      <w:r>
        <w:t xml:space="preserve">: instrumento </w:t>
      </w:r>
      <w:r>
        <w:rPr>
          <w:b/>
          <w:bCs/>
        </w:rPr>
        <w:t xml:space="preserve">estandarizado y validado internacionalmente</w:t>
      </w:r>
      <w:r>
        <w:t xml:space="preserve"> (Brooke, 1996); 10 ítems en escala Likert de 5 puntos. Su confiabilidad reportada en la literatura es </w:t>
      </w:r>
      <w:r>
        <w:rPr>
          <w:b/>
          <w:bCs/>
        </w:rPr>
        <w:t xml:space="preserve">α ≈ 0.91</w:t>
      </w:r>
      <w:r>
        <w:t xml:space="preserve">.</w:t>
      </w:r>
    </w:p>
    <w:p>
      <w:pPr>
        <w:pStyle w:val="ListParagraph"/>
        <w:numPr>
          <w:ilvl w:val="0"/>
          <w:numId w:val="2"/>
        </w:numPr>
        <w:spacing w:after="40" w:line="360"/>
      </w:pPr>
      <w:r>
        <w:rPr>
          <w:b/>
          <w:bCs/>
        </w:rPr>
        <w:t xml:space="preserve">Validación en este proyecto</w:t>
      </w:r>
      <w:r>
        <w:t xml:space="preserve">:</w:t>
      </w:r>
    </w:p>
    <w:p>
      <w:pPr>
        <w:pStyle w:val="ListParagraph"/>
        <w:numPr>
          <w:ilvl w:val="0"/>
          <w:numId w:val="2"/>
        </w:numPr>
        <w:spacing w:after="40" w:line="360"/>
      </w:pPr>
      <w:r>
        <w:t xml:space="preserve">Al ser un instrumento ya validado, se valida únicamente la </w:t>
      </w:r>
      <w:r>
        <w:rPr>
          <w:b/>
          <w:bCs/>
        </w:rPr>
        <w:t xml:space="preserve">adaptación/traducción al español</w:t>
      </w:r>
      <w:r>
        <w:t xml:space="preserve"> mediante juicio de expertos (V de Aiken).</w:t>
      </w:r>
    </w:p>
    <w:p>
      <w:pPr>
        <w:pStyle w:val="ListParagraph"/>
        <w:numPr>
          <w:ilvl w:val="0"/>
          <w:numId w:val="2"/>
        </w:numPr>
        <w:spacing w:after="40" w:line="360"/>
      </w:pPr>
      <w:r>
        <w:t xml:space="preserve">Se calcula el </w:t>
      </w:r>
      <w:r>
        <w:rPr>
          <w:b/>
          <w:bCs/>
        </w:rPr>
        <w:t xml:space="preserve">Alfa de Cronbach</w:t>
      </w:r>
      <w:r>
        <w:t xml:space="preserve"> sobre la muestra piloto para confirmar la confiabilidad en el contexto local.</w:t>
      </w:r>
    </w:p>
    <w:p>
      <w:pPr>
        <w:pStyle w:val="ListParagraph"/>
        <w:numPr>
          <w:ilvl w:val="0"/>
          <w:numId w:val="2"/>
        </w:numPr>
        <w:spacing w:after="40" w:line="360"/>
      </w:pPr>
      <w:r>
        <w:rPr>
          <w:b/>
          <w:bCs/>
        </w:rPr>
        <w:t xml:space="preserve">Aceptación</w:t>
      </w:r>
      <w:r>
        <w:t xml:space="preserve">: V ≥ 0.80 en la adaptación y α ≥ 0.70 en la aplicación.</w:t>
      </w:r>
    </w:p>
    <w:p>
      <w:pPr>
        <w:pStyle w:val="Heading3"/>
        <w:spacing w:after="120" w:before="200" w:line="360"/>
      </w:pPr>
      <w:r>
        <w:t xml:space="preserve">3.2 Checklist de Seguridad y Protección de Datos — variable X3</w:t>
      </w:r>
    </w:p>
    <w:p>
      <w:pPr>
        <w:pStyle w:val="ListParagraph"/>
        <w:numPr>
          <w:ilvl w:val="0"/>
          <w:numId w:val="2"/>
        </w:numPr>
        <w:spacing w:after="40" w:line="360"/>
      </w:pPr>
      <w:r>
        <w:rPr>
          <w:b/>
          <w:bCs/>
        </w:rPr>
        <w:t xml:space="preserve">Naturaleza</w:t>
      </w:r>
      <w:r>
        <w:t xml:space="preserve">: instrumento </w:t>
      </w:r>
      <w:r>
        <w:rPr>
          <w:b/>
          <w:bCs/>
        </w:rPr>
        <w:t xml:space="preserve">construido</w:t>
      </w:r>
      <w:r>
        <w:t xml:space="preserve"> para este proyecto (lista de verificación dicotómica: Cumple / No cumple / No aplica).</w:t>
      </w:r>
    </w:p>
    <w:p>
      <w:pPr>
        <w:pStyle w:val="ListParagraph"/>
        <w:numPr>
          <w:ilvl w:val="0"/>
          <w:numId w:val="2"/>
        </w:numPr>
        <w:spacing w:after="40" w:line="360"/>
      </w:pPr>
      <w:r>
        <w:rPr>
          <w:b/>
          <w:bCs/>
        </w:rPr>
        <w:t xml:space="preserve">Base normativa y técnica</w:t>
      </w:r>
      <w:r>
        <w:t xml:space="preserve"> (da validez de contenido de origen):</w:t>
      </w:r>
    </w:p>
    <w:p>
      <w:pPr>
        <w:pStyle w:val="ListParagraph"/>
        <w:numPr>
          <w:ilvl w:val="0"/>
          <w:numId w:val="2"/>
        </w:numPr>
        <w:spacing w:after="40" w:line="360"/>
      </w:pPr>
      <w:r>
        <w:rPr>
          <w:b/>
          <w:bCs/>
        </w:rPr>
        <w:t xml:space="preserve">OWASP ASVS</w:t>
      </w:r>
      <w:r>
        <w:t xml:space="preserve"> (Application Security Verification Standard) — controles técnicos.</w:t>
      </w:r>
    </w:p>
    <w:p>
      <w:pPr>
        <w:pStyle w:val="ListParagraph"/>
        <w:numPr>
          <w:ilvl w:val="0"/>
          <w:numId w:val="2"/>
        </w:numPr>
        <w:spacing w:after="40" w:line="360"/>
      </w:pPr>
      <w:r>
        <w:rPr>
          <w:b/>
          <w:bCs/>
        </w:rPr>
        <w:t xml:space="preserve">OWASP Top 10</w:t>
      </w:r>
      <w:r>
        <w:t xml:space="preserve"> — riesgos priorizados.</w:t>
      </w:r>
    </w:p>
    <w:p>
      <w:pPr>
        <w:pStyle w:val="ListParagraph"/>
        <w:numPr>
          <w:ilvl w:val="0"/>
          <w:numId w:val="2"/>
        </w:numPr>
        <w:spacing w:after="40" w:line="360"/>
      </w:pPr>
      <w:r>
        <w:rPr>
          <w:b/>
          <w:bCs/>
        </w:rPr>
        <w:t xml:space="preserve">Ley N.° 29733</w:t>
      </w:r>
      <w:r>
        <w:t xml:space="preserve"> y su reglamento </w:t>
      </w:r>
      <w:r>
        <w:rPr>
          <w:b/>
          <w:bCs/>
        </w:rPr>
        <w:t xml:space="preserve">D.S. N.° 016-2024-JUS</w:t>
      </w:r>
      <w:r>
        <w:t xml:space="preserve"> — obligaciones legales (consentimiento, ARCO, portabilidad, cifrado, notificación de incidentes, oficial de datos).</w:t>
      </w:r>
    </w:p>
    <w:p>
      <w:pPr>
        <w:pStyle w:val="ListParagraph"/>
        <w:numPr>
          <w:ilvl w:val="0"/>
          <w:numId w:val="2"/>
        </w:numPr>
        <w:spacing w:after="40" w:line="360"/>
      </w:pPr>
      <w:r>
        <w:rPr>
          <w:b/>
          <w:bCs/>
        </w:rPr>
        <w:t xml:space="preserve">Validación en este proyecto</w:t>
      </w:r>
      <w:r>
        <w:t xml:space="preserve">: </w:t>
      </w:r>
      <w:r>
        <w:rPr>
          <w:b/>
          <w:bCs/>
        </w:rPr>
        <w:t xml:space="preserve">juicio de expertos</w:t>
      </w:r>
      <w:r>
        <w:t xml:space="preserve"> en seguridad/protección de datos (V de Aiken ≥ 0.80). No requiere Alfa de Cronbach por no ser una escala de percepción, sino una verificación objetiva de cumplimiento.</w:t>
      </w:r>
    </w:p>
    <w:p>
      <w:pPr>
        <w:pStyle w:val="ListParagraph"/>
        <w:numPr>
          <w:ilvl w:val="0"/>
          <w:numId w:val="2"/>
        </w:numPr>
        <w:spacing w:after="40" w:line="360"/>
      </w:pPr>
      <w:r>
        <w:rPr>
          <w:b/>
          <w:bCs/>
        </w:rPr>
        <w:t xml:space="preserve">Trazabilidad</w:t>
      </w:r>
      <w:r>
        <w:t xml:space="preserve">: cada ítem del checklist se enlaza a un requisito RNF y a un artículo legal o control OWASP, lo que refuerza su validez.</w:t>
      </w:r>
    </w:p>
    <w:p>
      <w:pPr>
        <w:pStyle w:val="Heading3"/>
        <w:spacing w:after="120" w:before="200" w:line="360"/>
      </w:pPr>
      <w:r>
        <w:t xml:space="preserve">3.3 Ficha de Análisis Documental — variable X1 y X2</w:t>
      </w:r>
    </w:p>
    <w:p>
      <w:pPr>
        <w:pStyle w:val="ListParagraph"/>
        <w:numPr>
          <w:ilvl w:val="0"/>
          <w:numId w:val="2"/>
        </w:numPr>
        <w:spacing w:after="40" w:line="360"/>
      </w:pPr>
      <w:r>
        <w:rPr>
          <w:b/>
          <w:bCs/>
        </w:rPr>
        <w:t xml:space="preserve">Naturaleza</w:t>
      </w:r>
      <w:r>
        <w:t xml:space="preserve">: instrumento </w:t>
      </w:r>
      <w:r>
        <w:rPr>
          <w:b/>
          <w:bCs/>
        </w:rPr>
        <w:t xml:space="preserve">construido</w:t>
      </w:r>
      <w:r>
        <w:t xml:space="preserve"> para registrar objetivamente los entregables de ingeniería (requisitos, diagramas, ADR, módulos, cobertura) y la operatividad de los módulos críticos.</w:t>
      </w:r>
    </w:p>
    <w:p>
      <w:pPr>
        <w:pStyle w:val="ListParagraph"/>
        <w:numPr>
          <w:ilvl w:val="0"/>
          <w:numId w:val="2"/>
        </w:numPr>
        <w:spacing w:after="40" w:line="360"/>
      </w:pPr>
      <w:r>
        <w:rPr>
          <w:b/>
          <w:bCs/>
        </w:rPr>
        <w:t xml:space="preserve">Validación</w:t>
      </w:r>
      <w:r>
        <w:t xml:space="preserve">: </w:t>
      </w:r>
      <w:r>
        <w:rPr>
          <w:b/>
          <w:bCs/>
        </w:rPr>
        <w:t xml:space="preserve">juicio de expertos</w:t>
      </w:r>
      <w:r>
        <w:t xml:space="preserve"> en ingeniería de software (V de Aiken ≥ 0.80).</w:t>
      </w:r>
    </w:p>
    <w:p>
      <w:pPr>
        <w:pStyle w:val="ListParagraph"/>
        <w:numPr>
          <w:ilvl w:val="0"/>
          <w:numId w:val="2"/>
        </w:numPr>
        <w:spacing w:after="40" w:line="360"/>
      </w:pPr>
      <w:r>
        <w:rPr>
          <w:b/>
          <w:bCs/>
        </w:rPr>
        <w:t xml:space="preserve">Aceptación</w:t>
      </w:r>
      <w:r>
        <w:t xml:space="preserve">: al ser registro objetivo (existe/no existe, funciona/no funciona), la confiabilidad se asegura con </w:t>
      </w:r>
      <w:r>
        <w:rPr>
          <w:b/>
          <w:bCs/>
        </w:rPr>
        <w:t xml:space="preserve">criterios de registro claros</w:t>
      </w:r>
      <w:r>
        <w:t xml:space="preserve"> y, opcionalmente, </w:t>
      </w:r>
      <w:r>
        <w:rPr>
          <w:b/>
          <w:bCs/>
        </w:rPr>
        <w:t xml:space="preserve">acuerdo entre observadores</w:t>
      </w:r>
      <w:r>
        <w:t xml:space="preserve"> (dos evaluadores → índice de concordancia).</w:t>
      </w:r>
    </w:p>
    <w:p>
      <w:pPr>
        <w:pStyle w:val="Heading2"/>
        <w:spacing w:after="120" w:before="200" w:line="360"/>
      </w:pPr>
      <w:r>
        <w:t xml:space="preserve">4. Resumen: qué validación aplica a cada instrumento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6"/>
      </w:tblGrid>
      <w:tr>
        <w:trPr>
          <w:tblHeader/>
        </w:trPr>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Instrumento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Variable</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Validez de contenido</w:t>
            </w:r>
          </w:p>
        </w:tc>
        <w:tc>
          <w:tcPr>
            <w:tcW w:type="dxa" w:w="1805"/>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Confiabilidad</w:t>
            </w:r>
          </w:p>
        </w:tc>
        <w:tc>
          <w:tcPr>
            <w:tcW w:type="dxa" w:w="1806"/>
            <w:tcBorders>
              <w:top w:val="single" w:color="BBBBBB" w:sz="1"/>
              <w:left w:val="single" w:color="BBBBBB" w:sz="1"/>
              <w:bottom w:val="single" w:color="BBBBBB" w:sz="1"/>
              <w:right w:val="single" w:color="BBBBBB" w:sz="1"/>
            </w:tcBorders>
            <w:shd w:fill="D5E8F0" w:color="auto" w:val="clear"/>
            <w:tcMar>
              <w:top w:type="dxa" w:w="60"/>
              <w:left w:type="dxa" w:w="100"/>
              <w:bottom w:type="dxa" w:w="60"/>
              <w:right w:type="dxa" w:w="100"/>
            </w:tcMar>
          </w:tcPr>
          <w:p>
            <w:pPr>
              <w:spacing w:after="0" w:line="240"/>
            </w:pPr>
            <w:r>
              <w:rPr>
                <w:b/>
                <w:bCs/>
              </w:rPr>
              <w:t xml:space="preserve">¿Requiere expertos?</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Cuestionario SUS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X4 Usabilidad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V de Aiken (adaptación)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Alfa de Cronbach</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Sí (adaptación)</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Checklist Seguridad/Datos</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X3 Seguridad</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V de Aiken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Concordancia (opcional)</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Sí</w:t>
            </w:r>
          </w:p>
        </w:tc>
      </w:tr>
      <w:tr>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Ficha de Análisis Documental</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X1, X2</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V de Aiken</w:t>
            </w:r>
          </w:p>
        </w:tc>
        <w:tc>
          <w:tcPr>
            <w:tcW w:type="dxa" w:w="1805"/>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Acuerdo observadores (opcional)</w:t>
            </w:r>
          </w:p>
        </w:tc>
        <w:tc>
          <w:tcPr>
            <w:tcW w:type="dxa" w:w="1806"/>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line="240"/>
            </w:pPr>
            <w:r>
              <w:t xml:space="preserve">Sí</w:t>
            </w:r>
          </w:p>
        </w:tc>
      </w:tr>
    </w:tbl>
    <w:p>
      <w:pPr>
        <w:spacing w:after="120"/>
      </w:pPr>
    </w:p>
    <w:p>
      <w:pPr>
        <w:pStyle w:val="Heading2"/>
        <w:spacing w:after="120" w:before="200" w:line="360"/>
      </w:pPr>
      <w:r>
        <w:t xml:space="preserve">5. Evidencias que se adjuntan como Anexos</w:t>
      </w:r>
    </w:p>
    <w:p>
      <w:pPr>
        <w:pStyle w:val="ListParagraph"/>
        <w:numPr>
          <w:ilvl w:val="0"/>
          <w:numId w:val="3"/>
        </w:numPr>
        <w:spacing w:after="40" w:line="360"/>
      </w:pPr>
      <w:r>
        <w:rPr>
          <w:b/>
          <w:bCs/>
        </w:rPr>
        <w:t xml:space="preserve">Formato de validación por juicio de expertos</w:t>
      </w:r>
      <w:r>
        <w:t xml:space="preserve"> (ficha que llena cada juez).</w:t>
      </w:r>
    </w:p>
    <w:p>
      <w:pPr>
        <w:pStyle w:val="ListParagraph"/>
        <w:numPr>
          <w:ilvl w:val="0"/>
          <w:numId w:val="3"/>
        </w:numPr>
        <w:spacing w:after="40" w:line="360"/>
      </w:pPr>
      <w:r>
        <w:rPr>
          <w:b/>
          <w:bCs/>
        </w:rPr>
        <w:t xml:space="preserve">Constancias de validación</w:t>
      </w:r>
      <w:r>
        <w:t xml:space="preserve"> firmadas por los expertos.</w:t>
      </w:r>
    </w:p>
    <w:p>
      <w:pPr>
        <w:pStyle w:val="ListParagraph"/>
        <w:numPr>
          <w:ilvl w:val="0"/>
          <w:numId w:val="3"/>
        </w:numPr>
        <w:spacing w:after="40" w:line="360"/>
      </w:pPr>
      <w:r>
        <w:rPr>
          <w:b/>
          <w:bCs/>
        </w:rPr>
        <w:t xml:space="preserve">Cálculo de la V de Aiken</w:t>
      </w:r>
      <w:r>
        <w:t xml:space="preserve"> por instrumento (tabla).</w:t>
      </w:r>
    </w:p>
    <w:p>
      <w:pPr>
        <w:pStyle w:val="ListParagraph"/>
        <w:numPr>
          <w:ilvl w:val="0"/>
          <w:numId w:val="3"/>
        </w:numPr>
        <w:spacing w:after="40" w:line="360"/>
      </w:pPr>
      <w:r>
        <w:rPr>
          <w:b/>
          <w:bCs/>
        </w:rPr>
        <w:t xml:space="preserve">Cálculo del Alfa de Cronbach</w:t>
      </w:r>
      <w:r>
        <w:t xml:space="preserve"> del SUS (prueba piloto).</w:t>
      </w:r>
    </w:p>
    <w:p>
      <w:pPr>
        <w:pStyle w:val="ListParagraph"/>
        <w:numPr>
          <w:ilvl w:val="0"/>
          <w:numId w:val="3"/>
        </w:numPr>
        <w:spacing w:after="40" w:line="360"/>
      </w:pPr>
      <w:r>
        <w:rPr>
          <w:b/>
          <w:bCs/>
        </w:rPr>
        <w:t xml:space="preserve">Instrumentos finales</w:t>
      </w:r>
      <w:r>
        <w:t xml:space="preserve"> ya corregidos y aprobados.</w:t>
      </w:r>
    </w:p>
    <w:p>
      <w:pPr>
        <w:pStyle w:val="Heading2"/>
        <w:spacing w:after="120" w:before="200" w:line="360"/>
      </w:pPr>
      <w:r>
        <w:t xml:space="preserve">6. Flujo de aceptación de un instrumento</w:t>
      </w:r>
    </w:p>
    <w:p>
      <w:pPr>
        <w:spacing w:after="0" w:line="240"/>
      </w:pPr>
      <w:r>
        <w:rPr>
          <w:rFonts w:ascii="Courier New" w:cs="Courier New" w:eastAsia="Courier New" w:hAnsi="Courier New"/>
          <w:sz w:val="16"/>
          <w:szCs w:val="16"/>
        </w:rPr>
        <w:t xml:space="preserve">Construir/adaptar   ──►  Enviar a 3+ expertos  ──►  Calcular V de Aiken</w:t>
      </w:r>
    </w:p>
    <w:p>
      <w:pPr>
        <w:spacing w:after="0" w:line="240"/>
      </w:pPr>
      <w:r>
        <w:rPr>
          <w:rFonts w:ascii="Courier New" w:cs="Courier New" w:eastAsia="Courier New" w:hAnsi="Courier New"/>
          <w:sz w:val="16"/>
          <w:szCs w:val="16"/>
        </w:rPr>
        <w:t xml:space="preserve">   instrumento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¿V ≥ 0.80 en todos los ítems?</w:t>
      </w:r>
    </w:p>
    <w:p>
      <w:pPr>
        <w:spacing w:after="0" w:line="240"/>
      </w:pPr>
      <w:r>
        <w:rPr>
          <w:rFonts w:ascii="Courier New" w:cs="Courier New" w:eastAsia="Courier New" w:hAnsi="Courier New"/>
          <w:sz w:val="16"/>
          <w:szCs w:val="16"/>
        </w:rPr>
        <w:t xml:space="preserve">                                               │ No                    │ Sí</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Corregir ítems         Prueba piloto</w:t>
      </w:r>
    </w:p>
    <w:p>
      <w:pPr>
        <w:spacing w:after="0" w:line="240"/>
      </w:pPr>
      <w:r>
        <w:rPr>
          <w:rFonts w:ascii="Courier New" w:cs="Courier New" w:eastAsia="Courier New" w:hAnsi="Courier New"/>
          <w:sz w:val="16"/>
          <w:szCs w:val="16"/>
        </w:rPr>
        <w:t xml:space="preserve">                                        y reenviar                    │</w:t>
      </w:r>
    </w:p>
    <w:p>
      <w:pPr>
        <w:spacing w:after="0" w:line="240"/>
      </w:pPr>
      <w:r>
        <w:rPr>
          <w:rFonts w:ascii="Courier New" w:cs="Courier New" w:eastAsia="Courier New" w:hAnsi="Courier New"/>
          <w:sz w:val="16"/>
          <w:szCs w:val="16"/>
        </w:rPr>
        <w:t xml:space="preserve">                                                                      ▼</w:t>
      </w:r>
    </w:p>
    <w:p>
      <w:pPr>
        <w:spacing w:after="0" w:line="240"/>
      </w:pPr>
      <w:r>
        <w:rPr>
          <w:rFonts w:ascii="Courier New" w:cs="Courier New" w:eastAsia="Courier New" w:hAnsi="Courier New"/>
          <w:sz w:val="16"/>
          <w:szCs w:val="16"/>
        </w:rPr>
        <w:t xml:space="preserve">                                                        ¿α ≥ 0.70 (si aplica)?</w:t>
      </w:r>
    </w:p>
    <w:p>
      <w:pPr>
        <w:spacing w:after="0" w:line="240"/>
      </w:pPr>
      <w:r>
        <w:rPr>
          <w:rFonts w:ascii="Courier New" w:cs="Courier New" w:eastAsia="Courier New" w:hAnsi="Courier New"/>
          <w:sz w:val="16"/>
          <w:szCs w:val="16"/>
        </w:rPr>
        <w:t xml:space="preserve">                                                          │ No            │ Sí</w:t>
      </w:r>
    </w:p>
    <w:p>
      <w:pPr>
        <w:spacing w:after="0" w:line="240"/>
      </w:pPr>
      <w:r>
        <w:rPr>
          <w:rFonts w:ascii="Courier New" w:cs="Courier New" w:eastAsia="Courier New" w:hAnsi="Courier New"/>
          <w:sz w:val="16"/>
          <w:szCs w:val="16"/>
        </w:rPr>
        <w:t xml:space="preserve">                                                          ▼               ▼</w:t>
      </w:r>
    </w:p>
    <w:p>
      <w:pPr>
        <w:spacing w:after="0" w:line="240"/>
      </w:pPr>
      <w:r>
        <w:rPr>
          <w:rFonts w:ascii="Courier New" w:cs="Courier New" w:eastAsia="Courier New" w:hAnsi="Courier New"/>
          <w:sz w:val="16"/>
          <w:szCs w:val="16"/>
        </w:rPr>
        <w:t xml:space="preserve">                                                    Revisar ítems   Instrumento</w:t>
      </w:r>
    </w:p>
    <w:p>
      <w:pPr>
        <w:spacing w:after="0" w:line="240"/>
      </w:pPr>
      <w:r>
        <w:rPr>
          <w:rFonts w:ascii="Courier New" w:cs="Courier New" w:eastAsia="Courier New" w:hAnsi="Courier New"/>
          <w:sz w:val="16"/>
          <w:szCs w:val="16"/>
        </w:rPr>
        <w:t xml:space="preserve">                                                                    APROBADO ✔</w:t>
      </w:r>
    </w:p>
    <w:p>
      <w:pPr>
        <w:spacing w:after="80"/>
      </w:pPr>
    </w:p>
    <w:p>
      <w:pPr>
        <w:spacing w:after="0" w:line="360"/>
        <w:ind w:firstLine="720"/>
        <w:jc w:val="left"/>
      </w:pPr>
      <w:r>
        <w:t xml:space="preserve">Solo un instrumento </w:t>
      </w:r>
      <w:r>
        <w:rPr>
          <w:b/>
          <w:bCs/>
        </w:rPr>
        <w:t xml:space="preserve">aprobado</w:t>
      </w:r>
      <w:r>
        <w:t xml:space="preserve"> (V ≥ 0.80 y, si aplica, α ≥ 0.70) se usa para recolectar los datos que sustentan los resultados del Capítulo IV.</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18"/>
        <w:szCs w:val="18"/>
      </w:rPr>
      <w:t xml:space="preserve">Página </w:t>
    </w: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line="240"/>
    </w:pPr>
    <w:r>
      <w:rPr>
        <w:b/>
        <w:bCs/>
        <w:sz w:val="16"/>
        <w:szCs w:val="16"/>
      </w:rPr>
      <w:t xml:space="preserve">SITRAM — Sistema Integrado de Trámites Municipales</w:t>
    </w:r>
    <w:r>
      <w:t xml:space="preserve">	</w:t>
    </w:r>
    <w:r>
      <w:rPr>
        <w:b/>
        <w:bCs/>
        <w:sz w:val="16"/>
        <w:szCs w:val="16"/>
      </w:rPr>
      <w:t xml:space="preserve">Documentación Técnica</w:t>
    </w:r>
  </w:p>
  <w:p>
    <w:pPr>
      <w:pBdr>
        <w:bottom w:val="single" w:color="999999" w:sz="6" w:space="4"/>
      </w:pBdr>
      <w:tabs>
        <w:tab w:val="right" w:pos="9026"/>
      </w:tabs>
      <w:spacing w:after="0" w:line="240"/>
    </w:pPr>
    <w:r>
      <w:rPr>
        <w:color w:val="555555"/>
        <w:sz w:val="16"/>
        <w:szCs w:val="16"/>
      </w:rPr>
      <w:t xml:space="preserve">Plataforma web · .NET 10 + Blazor</w:t>
    </w:r>
    <w:r>
      <w:t xml:space="preserve">	</w:t>
    </w:r>
    <w:r>
      <w:rPr>
        <w:color w:val="555555"/>
        <w:sz w:val="16"/>
        <w:szCs w:val="16"/>
      </w:rPr>
      <w:t xml:space="preserve">Versión 1.0.0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lin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60" w:line="360"/>
      <w:outlineLvl w:val="2"/>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pPr>
      <w:spacing w:after="80" w:before="120" w:line="360"/>
      <w:outlineLvl w:val="3"/>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7hmx8sldstovhpnan3s8g" Type="http://schemas.openxmlformats.org/officeDocument/2006/relationships/hyperlink" Target="00b-validacion-instrumentos.md" TargetMode="External"/><Relationship Id="rId11" Type="http://schemas.openxmlformats.org/officeDocument/2006/relationships/image" Target="media/556b874ae3e3ae7f121005137d67110281dd23a4.png"/><Relationship Id="rId12" Type="http://schemas.openxmlformats.org/officeDocument/2006/relationships/image" Target="media/8ea24f30c3325770c3d14efafabe4d2c9e69cf49.png"/><Relationship Id="rId13" Type="http://schemas.openxmlformats.org/officeDocument/2006/relationships/image" Target="media/e97e6a7fd02c1d341cc7fc1f9628336ba22148f7.png"/><Relationship Id="rId14" Type="http://schemas.openxmlformats.org/officeDocument/2006/relationships/image" Target="media/68ef3580787900719a5ad916b2bb89d974486967.png"/><Relationship Id="rId15" Type="http://schemas.openxmlformats.org/officeDocument/2006/relationships/image" Target="media/449387613be1039b26cfb5d54f27f0dbdec0121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2026-07-07T07:09:24.854Z</dcterms:created>
  <dcterms:modified xsi:type="dcterms:W3CDTF">2026-07-07T07:09:24.854Z</dcterms:modified>
</cp:coreProperties>
</file>

<file path=docProps/custom.xml><?xml version="1.0" encoding="utf-8"?>
<Properties xmlns="http://schemas.openxmlformats.org/officeDocument/2006/custom-properties" xmlns:vt="http://schemas.openxmlformats.org/officeDocument/2006/docPropsVTypes"/>
</file>