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center"/>
      </w:pPr>
      <w:r>
        <w:rPr>
          <w:b/>
          <w:bCs/>
          <w:sz w:val="30"/>
          <w:szCs w:val="30"/>
        </w:rPr>
        <w:t xml:space="preserve">UNIVERSIDAD NACIONAL DE SAN CRISTÓBAL DE HUAMANGA</w:t>
      </w:r>
    </w:p>
    <w:p>
      <w:pPr>
        <w:spacing w:after="120" w:line="300"/>
        <w:jc w:val="center"/>
      </w:pPr>
      <w:r>
        <w:rPr>
          <w:b/>
          <w:bCs/>
          <w:sz w:val="24"/>
          <w:szCs w:val="24"/>
        </w:rPr>
        <w:t xml:space="preserve">FACULTAD DE INGENIERÍA DE MINAS, GEOLOGÍA Y CIVIL</w:t>
      </w:r>
    </w:p>
    <w:p>
      <w:pPr>
        <w:spacing w:after="120" w:line="300"/>
        <w:jc w:val="center"/>
      </w:pPr>
      <w:r>
        <w:rPr>
          <w:b/>
          <w:bCs/>
          <w:sz w:val="22"/>
          <w:szCs w:val="22"/>
        </w:rPr>
        <w:t xml:space="preserve">ESCUELA PROFESIONAL DE INGENIERÍA DE SISTEMAS</w:t>
      </w:r>
    </w:p>
    <w:p>
      <w:pPr>
        <w:spacing w:after="180"/>
      </w:pPr>
    </w:p>
    <w:p>
      <w:pPr>
        <w:spacing w:after="120"/>
        <w:jc w:val="center"/>
      </w:pPr>
      <w:r>
        <w:drawing>
          <wp:inline distT="0" distB="0" distL="0" distR="0">
            <wp:extent cx="1333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</w:p>
    <w:p>
      <w:pPr>
        <w:spacing w:after="120" w:line="300"/>
        <w:jc w:val="center"/>
      </w:pPr>
      <w:r>
        <w:rPr>
          <w:b/>
          <w:bCs/>
          <w:sz w:val="26"/>
          <w:szCs w:val="26"/>
        </w:rPr>
        <w:t xml:space="preserve">INFORME DE PRUEBAS END-TO-END</w:t>
      </w:r>
    </w:p>
    <w:p>
      <w:pPr>
        <w:spacing w:after="80"/>
      </w:pPr>
    </w:p>
    <w:p>
      <w:pPr>
        <w:spacing w:after="120" w:line="300"/>
        <w:jc w:val="center"/>
      </w:pPr>
      <w:r>
        <w:rPr>
          <w:b/>
          <w:bCs/>
          <w:sz w:val="26"/>
          <w:szCs w:val="26"/>
        </w:rPr>
        <w:t xml:space="preserve">“Verificación end-to-end de la plataforma SITRAM: registro, autenticación, ciclo del trámite y control de acceso”</w:t>
      </w:r>
    </w:p>
    <w:p>
      <w:pPr>
        <w:spacing w:after="360"/>
      </w:pPr>
    </w:p>
    <w:p>
      <w:pPr>
        <w:spacing w:after="40" w:line="300"/>
        <w:jc w:val="right"/>
      </w:pPr>
      <w:r>
        <w:rPr>
          <w:b/>
          <w:bCs/>
          <w:sz w:val="24"/>
          <w:szCs w:val="24"/>
        </w:rPr>
        <w:t xml:space="preserve">Presentado por:  </w:t>
      </w:r>
      <w:r>
        <w:rPr>
          <w:sz w:val="24"/>
          <w:szCs w:val="24"/>
        </w:rPr>
        <w:t xml:space="preserve">Cuadros Reyes Edson Jorge</w:t>
      </w:r>
    </w:p>
    <w:p>
      <w:pPr>
        <w:spacing w:after="60"/>
      </w:pPr>
    </w:p>
    <w:p>
      <w:pPr>
        <w:spacing w:after="40" w:line="300"/>
        <w:jc w:val="right"/>
      </w:pPr>
      <w:r>
        <w:rPr>
          <w:b/>
          <w:bCs/>
          <w:sz w:val="24"/>
          <w:szCs w:val="24"/>
        </w:rPr>
        <w:t xml:space="preserve">Docente:  </w:t>
      </w:r>
      <w:r>
        <w:rPr>
          <w:sz w:val="24"/>
          <w:szCs w:val="24"/>
        </w:rPr>
        <w:t xml:space="preserve">Mg. Ing. Richard Zapata Casaverde</w:t>
      </w:r>
    </w:p>
    <w:p>
      <w:pPr>
        <w:spacing w:after="60"/>
      </w:pPr>
    </w:p>
    <w:p>
      <w:pPr>
        <w:spacing w:after="40" w:line="300"/>
        <w:jc w:val="right"/>
      </w:pPr>
      <w:r>
        <w:rPr>
          <w:b/>
          <w:bCs/>
          <w:sz w:val="24"/>
          <w:szCs w:val="24"/>
        </w:rPr>
        <w:t xml:space="preserve">Curso:  </w:t>
      </w:r>
      <w:r>
        <w:rPr>
          <w:sz w:val="24"/>
          <w:szCs w:val="24"/>
        </w:rPr>
        <w:t xml:space="preserve">Pruebas y Aseguramiento de la Calidad de Software</w:t>
      </w:r>
    </w:p>
    <w:p>
      <w:pPr>
        <w:spacing w:after="400"/>
      </w:pPr>
    </w:p>
    <w:p>
      <w:pPr>
        <w:spacing w:after="120" w:line="300"/>
        <w:jc w:val="center"/>
      </w:pPr>
      <w:r>
        <w:rPr>
          <w:sz w:val="24"/>
          <w:szCs w:val="24"/>
        </w:rPr>
        <w:t xml:space="preserve">Ayacucho – Perú</w:t>
      </w:r>
    </w:p>
    <w:p>
      <w:pPr>
        <w:spacing w:after="120" w:line="300"/>
        <w:jc w:val="center"/>
      </w:pPr>
      <w:r>
        <w:rPr>
          <w:sz w:val="24"/>
          <w:szCs w:val="24"/>
        </w:rPr>
        <w:t xml:space="preserve">Julio, 2026</w:t>
      </w:r>
    </w:p>
    <w:p>
      <w:pPr>
        <w:pageBreakBefore/>
      </w:pPr>
    </w:p>
    <w:p>
      <w:pPr>
        <w:pStyle w:val="Heading1"/>
        <w:spacing w:after="120" w:before="200" w:line="300"/>
      </w:pPr>
      <w:r>
        <w:t xml:space="preserve">Informe de Pruebas End-to-End — SITRAM</w:t>
      </w:r>
    </w:p>
    <w:p>
      <w:pPr>
        <w:pBdr>
          <w:left w:val="single" w:color="9CC3E0" w:sz="12" w:space="8"/>
        </w:pBdr>
        <w:spacing w:after="160" w:line="300"/>
        <w:ind w:left="720"/>
      </w:pPr>
      <w:r>
        <w:rPr>
          <w:i/>
          <w:iCs/>
        </w:rPr>
        <w:t xml:space="preserve">Documento independiente del informe académico principal (</w:t>
      </w:r>
      <w:r>
        <w:rPr>
          <w:rFonts w:ascii="Courier New" w:cs="Courier New" w:eastAsia="Courier New" w:hAnsi="Courier New"/>
          <w:i/>
          <w:iCs/>
        </w:rPr>
        <w:t xml:space="preserve">informe-02/</w:t>
      </w:r>
      <w:r>
        <w:rPr>
          <w:i/>
          <w:iCs/>
        </w:rPr>
        <w:t xml:space="preserve">). Registra la ejecución de pruebas </w:t>
      </w:r>
      <w:r>
        <w:rPr>
          <w:b/>
          <w:bCs/>
          <w:i/>
          <w:iCs/>
        </w:rPr>
        <w:t xml:space="preserve">end-to-end (E2E)</w:t>
      </w:r>
      <w:r>
        <w:rPr>
          <w:i/>
          <w:iCs/>
        </w:rPr>
        <w:t xml:space="preserve">: flujos completos ejecutados en un navegador real (Chromium vía Playwright) contra el frontend Blazor (</w:t>
      </w:r>
      <w:r>
        <w:rPr>
          <w:rFonts w:ascii="Courier New" w:cs="Courier New" w:eastAsia="Courier New" w:hAnsi="Courier New"/>
          <w:i/>
          <w:iCs/>
        </w:rPr>
        <w:t xml:space="preserve">http://localhost:5049</w:t>
      </w:r>
      <w:r>
        <w:rPr>
          <w:i/>
          <w:iCs/>
        </w:rPr>
        <w:t xml:space="preserve">) y el backend real (API + PostgreSQL en Supabase), sin mocks ni simulaciones — exactamente como los usaría un usuario final.</w:t>
      </w:r>
    </w:p>
    <w:p>
      <w:pPr>
        <w:spacing w:after="160" w:line="300"/>
        <w:jc w:val="both"/>
      </w:pPr>
      <w:r>
        <w:rPr>
          <w:b/>
          <w:bCs/>
        </w:rPr>
        <w:t xml:space="preserve">Fecha de ejecución</w:t>
      </w:r>
      <w:r>
        <w:t xml:space="preserve">: 2026-07-16 </w:t>
      </w:r>
      <w:r>
        <w:rPr>
          <w:b/>
          <w:bCs/>
        </w:rPr>
        <w:t xml:space="preserve">Entorno</w:t>
      </w:r>
      <w:r>
        <w:t xml:space="preserve">: local (Development), base de datos PostgreSQL real (Supabase) </w:t>
      </w:r>
      <w:r>
        <w:rPr>
          <w:b/>
          <w:bCs/>
        </w:rPr>
        <w:t xml:space="preserve">Herramienta</w:t>
      </w:r>
      <w:r>
        <w:t xml:space="preserve">: Playwright (Chromium headless), script en [</w:t>
      </w:r>
      <w:r>
        <w:rPr>
          <w:rFonts w:ascii="Courier New" w:cs="Courier New" w:eastAsia="Courier New" w:hAnsi="Courier New"/>
        </w:rPr>
        <w:t xml:space="preserve">e2e-test.js</w:t>
      </w:r>
      <w:r>
        <w:t xml:space="preserve">](e2e-test.js) </w:t>
      </w:r>
      <w:r>
        <w:rPr>
          <w:b/>
          <w:bCs/>
        </w:rPr>
        <w:t xml:space="preserve">Resultado global</w:t>
      </w:r>
      <w:r>
        <w:t xml:space="preserve">: </w:t>
      </w:r>
      <w:r>
        <w:rPr>
          <w:b/>
          <w:bCs/>
        </w:rPr>
        <w:t xml:space="preserve">9 / 9 casos en verde (100 %)</w:t>
      </w:r>
    </w:p>
    <w:p>
      <w:pPr>
        <w:pStyle w:val="Heading2"/>
        <w:pageBreakBefore/>
        <w:spacing w:after="120" w:before="200" w:line="300"/>
      </w:pPr>
      <w:r>
        <w:t xml:space="preserve">1. Alcance</w:t>
      </w:r>
    </w:p>
    <w:p>
      <w:pPr>
        <w:spacing w:after="160" w:line="300"/>
        <w:jc w:val="both"/>
      </w:pPr>
      <w:r>
        <w:t xml:space="preserve">A diferencia de las pruebas unitarias y de integración (que ya cubren 146/146 casos a nivel de código y API, ver </w:t>
      </w:r>
      <w:r>
        <w:rPr>
          <w:rFonts w:ascii="Courier New" w:cs="Courier New" w:eastAsia="Courier New" w:hAnsi="Courier New"/>
        </w:rPr>
        <w:t xml:space="preserve">informe-02/06-capitulo-4.md</w:t>
      </w:r>
      <w:r>
        <w:t xml:space="preserve">), estas pruebas E2E verifican la </w:t>
      </w:r>
      <w:r>
        <w:rPr>
          <w:b/>
          <w:bCs/>
        </w:rPr>
        <w:t xml:space="preserve">experiencia completa del usuario final</w:t>
      </w:r>
      <w:r>
        <w:t xml:space="preserve"> a través de la interfaz web real: llenar formularios, hacer clic, y comprobar que la pantalla resultante sea la correcta.</w:t>
      </w:r>
    </w:p>
    <w:p>
      <w:pPr>
        <w:spacing w:after="160" w:line="300"/>
        <w:jc w:val="both"/>
      </w:pPr>
      <w:r>
        <w:t xml:space="preserve">Se cubren los flujos críticos de tres roles: </w:t>
      </w:r>
      <w:r>
        <w:rPr>
          <w:b/>
          <w:bCs/>
        </w:rPr>
        <w:t xml:space="preserve">Ciudadano</w:t>
      </w:r>
      <w:r>
        <w:t xml:space="preserve">, </w:t>
      </w:r>
      <w:r>
        <w:rPr>
          <w:b/>
          <w:bCs/>
        </w:rPr>
        <w:t xml:space="preserve">Administrador</w:t>
      </w:r>
      <w:r>
        <w:t xml:space="preserve">, y un caso negativo de control de acceso.</w:t>
      </w:r>
    </w:p>
    <w:p>
      <w:pPr>
        <w:pStyle w:val="Heading2"/>
        <w:pageBreakBefore/>
        <w:spacing w:after="120" w:before="200" w:line="300"/>
      </w:pPr>
      <w:r>
        <w:t xml:space="preserve">2. Resumen de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Flujo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TC-01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Registro de ciudadano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RF-001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Confirmación de correo y fijación de contraseña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RF-001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TC-03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Inicio de sesión (ciudadano)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RF-002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TC-04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Iniciar un trámite desde el catálogo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RF-020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TC-05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Consultar el estado del trámite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RF-050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TC-06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Inicio de sesión (administrador)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RF-002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TC-07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Administrar catálogo de trámites (TUPA)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RF-010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TC-08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Crear cuenta de funcionario con rol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RF-006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TC-09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Control de acceso: ciudadano sin permiso de administración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RNF-005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✅ OK</w:t>
            </w:r>
          </w:p>
        </w:tc>
      </w:tr>
    </w:tbl>
    <w:p>
      <w:pPr>
        <w:spacing w:after="160"/>
      </w:pPr>
    </w:p>
    <w:p>
      <w:pPr>
        <w:spacing w:after="160" w:line="300"/>
        <w:jc w:val="both"/>
      </w:pPr>
      <w:r>
        <w:rPr>
          <w:b/>
          <w:bCs/>
        </w:rPr>
        <w:t xml:space="preserve">Cumplimiento: 9/9 (100 %)</w:t>
      </w:r>
      <w:r>
        <w:t xml:space="preserve"> de los flujos de usuario final probados.</w:t>
      </w:r>
    </w:p>
    <w:p>
      <w:pPr>
        <w:pStyle w:val="Heading2"/>
        <w:pageBreakBefore/>
        <w:spacing w:after="120" w:before="200" w:line="300"/>
      </w:pPr>
      <w:r>
        <w:t xml:space="preserve">3. Detalle de cada caso, con evidencia</w:t>
      </w:r>
    </w:p>
    <w:p>
      <w:pPr>
        <w:pStyle w:val="Heading3"/>
        <w:spacing w:after="120" w:before="200" w:line="300"/>
      </w:pPr>
      <w:r>
        <w:t xml:space="preserve">TC-01 — Registro de ciudadano (RF-001)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abrir </w:t>
      </w:r>
      <w:r>
        <w:rPr>
          <w:rFonts w:ascii="Courier New" w:cs="Courier New" w:eastAsia="Courier New" w:hAnsi="Courier New"/>
        </w:rPr>
        <w:t xml:space="preserve">/registro</w:t>
      </w:r>
      <w:r>
        <w:t xml:space="preserve">, completar Nombres, Apellidos, DNI, correo, teléfono, dirección, usuario y contraseña, enviar el formulario.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la cuenta se crea y el sistema redirige a </w:t>
      </w:r>
      <w:r>
        <w:rPr>
          <w:rFonts w:ascii="Courier New" w:cs="Courier New" w:eastAsia="Courier New" w:hAnsi="Courier New"/>
        </w:rPr>
        <w:t xml:space="preserve">/login</w:t>
      </w:r>
      <w:r>
        <w:t xml:space="preserve"> con un mensaje de éxito.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Redirige a </w:t>
      </w:r>
      <w:r>
        <w:rPr>
          <w:rFonts w:ascii="Courier New" w:cs="Courier New" w:eastAsia="Courier New" w:hAnsi="Courier New"/>
        </w:rPr>
        <w:t xml:space="preserve">/login?exito=...</w:t>
      </w:r>
      <w:r>
        <w:t xml:space="preserve">, mostrando "Cuenta creada. Revisa tu correo para verificarla y luego inicia sesión."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 w:line="300"/>
      </w:pPr>
      <w:r>
        <w:t xml:space="preserve">TC-02 — Confirmación de correo y fijación de contraseña (RF-001)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abrir el enlace de verificación recibido por correo (</w:t>
      </w:r>
      <w:r>
        <w:rPr>
          <w:rFonts w:ascii="Courier New" w:cs="Courier New" w:eastAsia="Courier New" w:hAnsi="Courier New"/>
        </w:rPr>
        <w:t xml:space="preserve">/confirmar-email</w:t>
      </w:r>
      <w:r>
        <w:t xml:space="preserve"> con </w:t>
      </w:r>
      <w:r>
        <w:rPr>
          <w:rFonts w:ascii="Courier New" w:cs="Courier New" w:eastAsia="Courier New" w:hAnsi="Courier New"/>
        </w:rPr>
        <w:t xml:space="preserve">usuarioId</w:t>
      </w:r>
      <w:r>
        <w:t xml:space="preserve"> y </w:t>
      </w:r>
      <w:r>
        <w:rPr>
          <w:rFonts w:ascii="Courier New" w:cs="Courier New" w:eastAsia="Courier New" w:hAnsi="Courier New"/>
        </w:rPr>
        <w:t xml:space="preserve">token</w:t>
      </w:r>
      <w:r>
        <w:t xml:space="preserve">), fijar la contraseña definitiva.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el correo queda confirmado y se muestra un mensaje de éxito.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"Correo confirmado. Ahora establece tu contraseña definitiva." → tras guardar: "Contraseña actualizada."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9CC3E0" w:sz="12" w:space="8"/>
        </w:pBdr>
        <w:spacing w:after="160" w:line="300"/>
        <w:ind w:left="720"/>
      </w:pPr>
      <w:r>
        <w:rPr>
          <w:b/>
          <w:bCs/>
          <w:i/>
          <w:iCs/>
        </w:rPr>
        <w:t xml:space="preserve">Nota metodológica</w:t>
      </w:r>
      <w:r>
        <w:rPr>
          <w:i/>
          <w:iCs/>
        </w:rPr>
        <w:t xml:space="preserve">: en este entorno de prueba había SMTP real configurado (Gmail), por lo que el enlace de verificación se envía de verdad y no queda en el log. Para automatizar la lectura del enlace sin depender de una bandeja de correo externa, se desactivó temporalmente </w:t>
      </w:r>
      <w:r>
        <w:rPr>
          <w:rFonts w:ascii="Courier New" w:cs="Courier New" w:eastAsia="Courier New" w:hAnsi="Courier New"/>
          <w:i/>
          <w:iCs/>
        </w:rPr>
        <w:t xml:space="preserve">Smtp:Host</w:t>
      </w:r>
      <w:r>
        <w:rPr>
          <w:i/>
          <w:iCs/>
        </w:rPr>
        <w:t xml:space="preserve"> en los User Secrets locales (con lo que el sistema cae al comportamiento de desarrollo documentado en </w:t>
      </w:r>
      <w:r>
        <w:rPr>
          <w:rFonts w:ascii="Courier New" w:cs="Courier New" w:eastAsia="Courier New" w:hAnsi="Courier New"/>
          <w:i/>
          <w:iCs/>
        </w:rPr>
        <w:t xml:space="preserve">docs/errores-conocidos.md</w:t>
      </w:r>
      <w:r>
        <w:rPr>
          <w:i/>
          <w:iCs/>
        </w:rPr>
        <w:t xml:space="preserve">: el cuerpo del correo se registra en el log del servidor) y se restauró la configuración original inmediatamente después de la corrida. No se modificó ninguna credencial.</w:t>
      </w:r>
    </w:p>
    <w:p>
      <w:pPr>
        <w:pStyle w:val="Heading3"/>
        <w:spacing w:after="120" w:before="200" w:line="300"/>
      </w:pPr>
      <w:r>
        <w:t xml:space="preserve">TC-03 — Inicio de sesión de ciudadano (RF-002)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iniciar sesión con el usuario recién registrado y su contraseña.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sesión iniciada, redirección al dashboard (</w:t>
      </w:r>
      <w:r>
        <w:rPr>
          <w:rFonts w:ascii="Courier New" w:cs="Courier New" w:eastAsia="Courier New" w:hAnsi="Courier New"/>
        </w:rPr>
        <w:t xml:space="preserve">/</w:t>
      </w:r>
      <w:r>
        <w:t xml:space="preserve">).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Sesión iniciada correctamente, sin mensajes de error.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 w:line="300"/>
      </w:pPr>
      <w:r>
        <w:t xml:space="preserve">TC-04 — Iniciar un trámite desde el catálogo (RF-020)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ir a </w:t>
      </w:r>
      <w:r>
        <w:rPr>
          <w:rFonts w:ascii="Courier New" w:cs="Courier New" w:eastAsia="Courier New" w:hAnsi="Courier New"/>
        </w:rPr>
        <w:t xml:space="preserve">/tramites/nuevo</w:t>
      </w:r>
      <w:r>
        <w:t xml:space="preserve">, seleccionar un tipo de trámite del catálogo.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se crea el expediente y se redirige a su página de detalle (</w:t>
      </w:r>
      <w:r>
        <w:rPr>
          <w:rFonts w:ascii="Courier New" w:cs="Courier New" w:eastAsia="Courier New" w:hAnsi="Courier New"/>
        </w:rPr>
        <w:t xml:space="preserve">/tramites/{id}</w:t>
      </w:r>
      <w:r>
        <w:t xml:space="preserve">).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Redirige a </w:t>
      </w:r>
      <w:r>
        <w:rPr>
          <w:rFonts w:ascii="Courier New" w:cs="Courier New" w:eastAsia="Courier New" w:hAnsi="Courier New"/>
        </w:rPr>
        <w:t xml:space="preserve">/tramites/aeaeabbb-f36d-4bdb-826b-144c60560584</w:t>
      </w:r>
      <w:r>
        <w:t xml:space="preserve">.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 w:line="300"/>
      </w:pPr>
      <w:r>
        <w:t xml:space="preserve">TC-05 — Consultar el estado del trámite (RF-050)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en la página de detalle del trámite recién creado, verificar que se muestre su estado actual.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el estado (</w:t>
      </w:r>
      <w:r>
        <w:rPr>
          <w:rFonts w:ascii="Courier New" w:cs="Courier New" w:eastAsia="Courier New" w:hAnsi="Courier New"/>
        </w:rPr>
        <w:t xml:space="preserve">Recibido</w:t>
      </w:r>
      <w:r>
        <w:t xml:space="preserve">) es visible para el ciudadano.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El detalle muestra el estado actual del expediente en tiempo real.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 w:line="300"/>
      </w:pPr>
      <w:r>
        <w:t xml:space="preserve">TC-06 — Inicio de sesión de administrador (RF-002)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iniciar sesión con la cuenta </w:t>
      </w:r>
      <w:r>
        <w:rPr>
          <w:rFonts w:ascii="Courier New" w:cs="Courier New" w:eastAsia="Courier New" w:hAnsi="Courier New"/>
        </w:rPr>
        <w:t xml:space="preserve">administrador</w:t>
      </w:r>
      <w:r>
        <w:t xml:space="preserve">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sesión iniciada sin errores.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Sesión iniciada correctamente.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 w:line="300"/>
      </w:pPr>
      <w:r>
        <w:t xml:space="preserve">TC-07 — Administrar catálogo de trámites / TUPA (RF-010)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como administrador, ir a </w:t>
      </w:r>
      <w:r>
        <w:rPr>
          <w:rFonts w:ascii="Courier New" w:cs="Courier New" w:eastAsia="Courier New" w:hAnsi="Courier New"/>
        </w:rPr>
        <w:t xml:space="preserve">/administracion/tipos-tramite</w:t>
      </w:r>
      <w:r>
        <w:t xml:space="preserve">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acceso permitido (política </w:t>
      </w:r>
      <w:r>
        <w:rPr>
          <w:rFonts w:ascii="Courier New" w:cs="Courier New" w:eastAsia="Courier New" w:hAnsi="Courier New"/>
        </w:rPr>
        <w:t xml:space="preserve">AdministracionGestionar</w:t>
      </w:r>
      <w:r>
        <w:t xml:space="preserve">), catálogo visible.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El administrador accede sin ser redirigido a "Acceso denegado".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 w:line="300"/>
      </w:pPr>
      <w:r>
        <w:t xml:space="preserve">TC-08 — Crear cuenta de funcionario con rol (RF-006)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en </w:t>
      </w:r>
      <w:r>
        <w:rPr>
          <w:rFonts w:ascii="Courier New" w:cs="Courier New" w:eastAsia="Courier New" w:hAnsi="Courier New"/>
        </w:rPr>
        <w:t xml:space="preserve">/administracion/funcionarios</w:t>
      </w:r>
      <w:r>
        <w:t xml:space="preserve">, completar usuario, correo, contraseña temporal y seleccionar el rol </w:t>
      </w:r>
      <w:r>
        <w:rPr>
          <w:rFonts w:ascii="Courier New" w:cs="Courier New" w:eastAsia="Courier New" w:hAnsi="Courier New"/>
        </w:rPr>
        <w:t xml:space="preserve">MesaDePartes</w:t>
      </w:r>
      <w:r>
        <w:t xml:space="preserve">, enviar.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la cuenta se crea con el rol asignado, sin errores.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Funcionario </w:t>
      </w:r>
      <w:r>
        <w:rPr>
          <w:rFonts w:ascii="Courier New" w:cs="Courier New" w:eastAsia="Courier New" w:hAnsi="Courier New"/>
        </w:rPr>
        <w:t xml:space="preserve">rpalomino100546</w:t>
      </w:r>
      <w:r>
        <w:t xml:space="preserve"> creado con rol </w:t>
      </w:r>
      <w:r>
        <w:rPr>
          <w:rFonts w:ascii="Courier New" w:cs="Courier New" w:eastAsia="Courier New" w:hAnsi="Courier New"/>
        </w:rPr>
        <w:t xml:space="preserve">MesaDePartes</w:t>
      </w:r>
      <w:r>
        <w:t xml:space="preserve">.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 w:line="300"/>
      </w:pPr>
      <w:r>
        <w:t xml:space="preserve">TC-09 — Control de acceso: ciudadano sin permiso de administración (RNF-005)</w:t>
      </w:r>
    </w:p>
    <w:p>
      <w:pPr>
        <w:spacing w:after="160" w:line="300"/>
        <w:jc w:val="both"/>
      </w:pPr>
      <w:r>
        <w:rPr>
          <w:b/>
          <w:bCs/>
        </w:rPr>
        <w:t xml:space="preserve">Pasos</w:t>
      </w:r>
      <w:r>
        <w:t xml:space="preserve">: con la sesión del ciudadano (sin privilegios de administración), intentar acceder directamente a </w:t>
      </w:r>
      <w:r>
        <w:rPr>
          <w:rFonts w:ascii="Courier New" w:cs="Courier New" w:eastAsia="Courier New" w:hAnsi="Courier New"/>
        </w:rPr>
        <w:t xml:space="preserve">/administracion/funcionarios</w:t>
      </w:r>
      <w:r>
        <w:t xml:space="preserve"> escribiendo la URL.</w:t>
      </w:r>
    </w:p>
    <w:p>
      <w:pPr>
        <w:spacing w:after="160" w:line="300"/>
        <w:jc w:val="both"/>
      </w:pPr>
      <w:r>
        <w:rPr>
          <w:b/>
          <w:bCs/>
        </w:rPr>
        <w:t xml:space="preserve">Resultado esperado</w:t>
      </w:r>
      <w:r>
        <w:t xml:space="preserve">: el acceso se </w:t>
      </w:r>
      <w:r>
        <w:rPr>
          <w:b/>
          <w:bCs/>
        </w:rPr>
        <w:t xml:space="preserve">deniega</w:t>
      </w:r>
      <w:r>
        <w:t xml:space="preserve"> — el control de acceso se valida en el servidor, no solo ocultando el enlace en el menú.</w:t>
      </w:r>
    </w:p>
    <w:p>
      <w:pPr>
        <w:spacing w:after="160" w:line="300"/>
        <w:jc w:val="both"/>
      </w:pPr>
      <w:r>
        <w:rPr>
          <w:b/>
          <w:bCs/>
        </w:rPr>
        <w:t xml:space="preserve">Resultado obtenido</w:t>
      </w:r>
      <w:r>
        <w:t xml:space="preserve">: ✅ El ciudadano es redirigido a la página de acceso denegado; no puede ver ni usar el formulario de administración.</w:t>
      </w:r>
    </w:p>
    <w:p>
      <w:pPr>
        <w:spacing w:after="160" w:line="24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spacing w:after="120" w:before="200" w:line="300"/>
      </w:pPr>
      <w:r>
        <w:t xml:space="preserve">4. Conclusión</w:t>
      </w:r>
    </w:p>
    <w:p>
      <w:pPr>
        <w:spacing w:after="160" w:line="300"/>
        <w:jc w:val="both"/>
      </w:pPr>
      <w:r>
        <w:t xml:space="preserve">Los 9 flujos de usuario final probados end-to-end —abarcando los tres roles principales del sistema (Ciudadano, Administrador, y el caso negativo de control de acceso)— funcionan correctamente sobre el sistema real (frontend Blazor + backend + PostgreSQL), sin necesidad de mocks. Esto complementa, con evidencia visual, los resultados ya reportados en el informe principal (146/146 pruebas automatizadas de dominio, aplicación e integración).</w:t>
      </w:r>
    </w:p>
    <w:p>
      <w:pPr>
        <w:spacing w:after="160" w:line="300"/>
        <w:jc w:val="both"/>
      </w:pPr>
      <w:r>
        <w:rPr>
          <w:b/>
          <w:bCs/>
        </w:rPr>
        <w:t xml:space="preserve">Reproducibilidad</w:t>
      </w:r>
      <w:r>
        <w:t xml:space="preserve">: el script [</w:t>
      </w:r>
      <w:r>
        <w:rPr>
          <w:rFonts w:ascii="Courier New" w:cs="Courier New" w:eastAsia="Courier New" w:hAnsi="Courier New"/>
        </w:rPr>
        <w:t xml:space="preserve">e2e-test.js</w:t>
      </w:r>
      <w:r>
        <w:t xml:space="preserve">](e2e-test.js) es determinista y puede re-ejecutarse en cualquier momento con </w:t>
      </w:r>
      <w:r>
        <w:rPr>
          <w:rFonts w:ascii="Courier New" w:cs="Courier New" w:eastAsia="Courier New" w:hAnsi="Courier New"/>
        </w:rPr>
        <w:t xml:space="preserve">node e2e-test.js</w:t>
      </w:r>
      <w:r>
        <w:t xml:space="preserve"> (requiere </w:t>
      </w:r>
      <w:r>
        <w:rPr>
          <w:rFonts w:ascii="Courier New" w:cs="Courier New" w:eastAsia="Courier New" w:hAnsi="Courier New"/>
        </w:rPr>
        <w:t xml:space="preserve">Sitram.Api</w:t>
      </w:r>
      <w:r>
        <w:t xml:space="preserve"> y </w:t>
      </w:r>
      <w:r>
        <w:rPr>
          <w:rFonts w:ascii="Courier New" w:cs="Courier New" w:eastAsia="Courier New" w:hAnsi="Courier New"/>
        </w:rPr>
        <w:t xml:space="preserve">Sitram.Web</w:t>
      </w:r>
      <w:r>
        <w:t xml:space="preserve"> corriendo localmente, y </w:t>
      </w:r>
      <w:r>
        <w:rPr>
          <w:rFonts w:ascii="Courier New" w:cs="Courier New" w:eastAsia="Courier New" w:hAnsi="Courier New"/>
        </w:rPr>
        <w:t xml:space="preserve">Smtp:Host</w:t>
      </w:r>
      <w:r>
        <w:t xml:space="preserve"> sin configurar para poder leer el enlace de confirmación del log del servidor).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tabs>
        <w:tab w:val="right" w:pos="9026"/>
      </w:tabs>
      <w:spacing w:after="0" w:line="240"/>
    </w:pPr>
    <w:r>
      <w:rPr>
        <w:b/>
        <w:bCs/>
        <w:sz w:val="18"/>
        <w:szCs w:val="18"/>
      </w:rPr>
      <w:t xml:space="preserve">SITRAM — Pruebas End-to-End</w:t>
    </w:r>
    <w:r>
      <w:t xml:space="preserve">	</w:t>
    </w:r>
    <w:r>
      <w:rPr>
        <w:color w:val="555555"/>
        <w:sz w:val="18"/>
        <w:szCs w:val="18"/>
      </w:rPr>
      <w:t xml:space="preserve">2026-07-16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 w:line="30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 w:line="3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 w:line="300"/>
      <w:ind w:firstLine="720"/>
      <w:outlineLvl w:val="3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0f5ebbd136f248d6b4bf67383fd032d6771e2ac.png"/><Relationship Id="rId12" Type="http://schemas.openxmlformats.org/officeDocument/2006/relationships/image" Target="media/b55998b01528a7c247882595b574fcecffe79ff0.png"/><Relationship Id="rId13" Type="http://schemas.openxmlformats.org/officeDocument/2006/relationships/image" Target="media/5112ebe0a59a47137e3f6f742867c8acb69d397f.png"/><Relationship Id="rId14" Type="http://schemas.openxmlformats.org/officeDocument/2006/relationships/image" Target="media/e7cd69171c383ecc8e2a117c117a101fe8646403.png"/><Relationship Id="rId15" Type="http://schemas.openxmlformats.org/officeDocument/2006/relationships/image" Target="media/a78a4c796cb36bcf040763737f0d5c361abe62fd.png"/><Relationship Id="rId16" Type="http://schemas.openxmlformats.org/officeDocument/2006/relationships/image" Target="media/6f8cd53f2cfaf42ed6dadb8ec98e64881596632c.png"/><Relationship Id="rId17" Type="http://schemas.openxmlformats.org/officeDocument/2006/relationships/image" Target="media/450cac9a94f25f6748744534fdf4ec27c665e3e0.png"/><Relationship Id="rId18" Type="http://schemas.openxmlformats.org/officeDocument/2006/relationships/image" Target="media/e9fae54df6b29a49cbbd292e8c4b681357ecc8fe.png"/><Relationship Id="rId19" Type="http://schemas.openxmlformats.org/officeDocument/2006/relationships/image" Target="media/0da754096149c90d5ca0b697eb0bf555516b9a9f.png"/><Relationship Id="rId20" Type="http://schemas.openxmlformats.org/officeDocument/2006/relationships/image" Target="media/f0015571659119dea5ad51bf126f541487a214a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2026-07-17T04:32:09.877Z</dcterms:created>
  <dcterms:modified xsi:type="dcterms:W3CDTF">2026-07-17T04:32:09.878Z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