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CDB8F0" w14:textId="77777777" w:rsidR="00DF13C8" w:rsidRPr="009B75FA" w:rsidRDefault="00E628F5" w:rsidP="009B75FA">
      <w:pPr>
        <w:pStyle w:val="Title"/>
        <w:rPr>
          <w:sz w:val="24"/>
          <w:szCs w:val="24"/>
        </w:rPr>
      </w:pPr>
      <w:r w:rsidRPr="00E628F5">
        <w:rPr>
          <w:sz w:val="24"/>
          <w:szCs w:val="24"/>
        </w:rPr>
        <w:t>Quantification of cancer cell migration with an integrated experimental-computational pipeline</w:t>
      </w:r>
    </w:p>
    <w:p w14:paraId="293C76C0" w14:textId="77777777" w:rsidR="00255B67" w:rsidRPr="00956A27" w:rsidRDefault="00DF13C8" w:rsidP="00EA7AD4">
      <w:pPr>
        <w:pStyle w:val="Subtitle"/>
        <w:rPr>
          <w:lang w:val="es-SV"/>
        </w:rPr>
      </w:pPr>
      <w:r w:rsidRPr="00956A27">
        <w:rPr>
          <w:lang w:val="es-SV"/>
        </w:rPr>
        <w:t>Edwin F. Ju</w:t>
      </w:r>
      <w:r w:rsidR="002D3E59" w:rsidRPr="00956A27">
        <w:rPr>
          <w:lang w:val="es-SV"/>
        </w:rPr>
        <w:t>a</w:t>
      </w:r>
      <w:r w:rsidRPr="00956A27">
        <w:rPr>
          <w:lang w:val="es-SV"/>
        </w:rPr>
        <w:t>rez</w:t>
      </w:r>
      <w:r w:rsidR="008F7C29" w:rsidRPr="008F7C29">
        <w:rPr>
          <w:vertAlign w:val="superscript"/>
          <w:lang w:val="es-SV"/>
        </w:rPr>
        <w:t>‡</w:t>
      </w:r>
      <w:r w:rsidR="008F7C29">
        <w:rPr>
          <w:vertAlign w:val="superscript"/>
          <w:lang w:val="es-SV"/>
        </w:rPr>
        <w:t>,</w:t>
      </w:r>
      <w:r w:rsidR="00C82690" w:rsidRPr="00956A27">
        <w:rPr>
          <w:vertAlign w:val="superscript"/>
          <w:lang w:val="es-SV"/>
        </w:rPr>
        <w:t>1</w:t>
      </w:r>
      <w:r w:rsidR="00956A27" w:rsidRPr="00956A27">
        <w:rPr>
          <w:vertAlign w:val="superscript"/>
          <w:lang w:val="es-SV"/>
        </w:rPr>
        <w:t>*</w:t>
      </w:r>
      <w:r w:rsidR="00C82690" w:rsidRPr="00956A27">
        <w:rPr>
          <w:vertAlign w:val="superscript"/>
          <w:lang w:val="es-SV"/>
        </w:rPr>
        <w:t>,2</w:t>
      </w:r>
      <w:r w:rsidR="00956A27">
        <w:rPr>
          <w:vertAlign w:val="superscript"/>
          <w:lang w:val="es-SV"/>
        </w:rPr>
        <w:t>*,3</w:t>
      </w:r>
      <w:r w:rsidR="00956A27" w:rsidRPr="00956A27">
        <w:rPr>
          <w:vertAlign w:val="superscript"/>
          <w:lang w:val="es-SV"/>
        </w:rPr>
        <w:t>†</w:t>
      </w:r>
      <w:r w:rsidRPr="00956A27">
        <w:rPr>
          <w:lang w:val="es-SV"/>
        </w:rPr>
        <w:t>, Carolina Garri</w:t>
      </w:r>
      <w:r w:rsidR="00C82690" w:rsidRPr="00956A27">
        <w:rPr>
          <w:vertAlign w:val="superscript"/>
          <w:lang w:val="es-SV"/>
        </w:rPr>
        <w:t>1</w:t>
      </w:r>
      <w:r w:rsidRPr="00956A27">
        <w:rPr>
          <w:lang w:val="es-SV"/>
        </w:rPr>
        <w:t>, Ahmadreza Ghaffarizadeh</w:t>
      </w:r>
      <w:r w:rsidR="00C82690" w:rsidRPr="00956A27">
        <w:rPr>
          <w:vertAlign w:val="superscript"/>
          <w:lang w:val="es-SV"/>
        </w:rPr>
        <w:t>1</w:t>
      </w:r>
      <w:r w:rsidR="00956A27">
        <w:rPr>
          <w:vertAlign w:val="superscript"/>
          <w:lang w:val="es-SV"/>
        </w:rPr>
        <w:t>*</w:t>
      </w:r>
      <w:r w:rsidRPr="00956A27">
        <w:rPr>
          <w:lang w:val="es-SV"/>
        </w:rPr>
        <w:t xml:space="preserve">, </w:t>
      </w:r>
    </w:p>
    <w:p w14:paraId="0FA47A00" w14:textId="77777777" w:rsidR="00DF13C8" w:rsidRPr="00624952" w:rsidRDefault="00DF13C8" w:rsidP="00EA7AD4">
      <w:pPr>
        <w:pStyle w:val="Subtitle"/>
      </w:pPr>
      <w:r w:rsidRPr="00624952">
        <w:t>Paul Macklin</w:t>
      </w:r>
      <w:r w:rsidR="00C82690" w:rsidRPr="00624952">
        <w:rPr>
          <w:vertAlign w:val="superscript"/>
        </w:rPr>
        <w:t>1</w:t>
      </w:r>
      <w:r w:rsidR="00956A27">
        <w:rPr>
          <w:vertAlign w:val="superscript"/>
        </w:rPr>
        <w:t>*,</w:t>
      </w:r>
      <w:r w:rsidR="00162FAD">
        <w:rPr>
          <w:vertAlign w:val="superscript"/>
        </w:rPr>
        <w:t>4</w:t>
      </w:r>
      <w:r w:rsidR="00956A27" w:rsidRPr="00956A27">
        <w:rPr>
          <w:vertAlign w:val="superscript"/>
        </w:rPr>
        <w:t>†</w:t>
      </w:r>
      <w:r w:rsidRPr="00624952">
        <w:t>, and Kian Kani</w:t>
      </w:r>
      <w:r w:rsidR="00C82690" w:rsidRPr="00624952">
        <w:rPr>
          <w:vertAlign w:val="superscript"/>
        </w:rPr>
        <w:t>1</w:t>
      </w:r>
    </w:p>
    <w:p w14:paraId="33E8F8BD" w14:textId="77777777" w:rsidR="00C82690" w:rsidRPr="00624952" w:rsidRDefault="00C82690" w:rsidP="00EA7AD4">
      <w:pPr>
        <w:pStyle w:val="Subtitle"/>
      </w:pPr>
    </w:p>
    <w:p w14:paraId="0B9B40FB" w14:textId="77777777" w:rsidR="00C82690" w:rsidRPr="00624952" w:rsidRDefault="00C82690" w:rsidP="00EA7AD4">
      <w:pPr>
        <w:pStyle w:val="Subtitle"/>
      </w:pPr>
      <w:r w:rsidRPr="00624952">
        <w:t>1: Lawrence J. Ellison Institute for Transformative Medicine, Keck School of Medicine, University of Southern California, Los Angeles, California</w:t>
      </w:r>
      <w:r w:rsidR="008F7C29">
        <w:t>, 90007</w:t>
      </w:r>
    </w:p>
    <w:p w14:paraId="5E189A40" w14:textId="77777777" w:rsidR="00C82690" w:rsidRDefault="00C82690" w:rsidP="00EA7AD4">
      <w:pPr>
        <w:pStyle w:val="Subtitle"/>
      </w:pPr>
      <w:r w:rsidRPr="00624952">
        <w:t>2: Ming Hsieh Department of Electrical Engineering, Viterbi School of Engineering, University of Southern California, Los Angeles, California</w:t>
      </w:r>
      <w:r w:rsidR="008F7C29">
        <w:t>, 90007</w:t>
      </w:r>
    </w:p>
    <w:p w14:paraId="70E26483" w14:textId="77777777" w:rsidR="00956A27" w:rsidRDefault="00956A27" w:rsidP="00956A27">
      <w:pPr>
        <w:jc w:val="center"/>
      </w:pPr>
      <w:r>
        <w:t xml:space="preserve">3: </w:t>
      </w:r>
      <w:r w:rsidR="00D157C9">
        <w:t>Department</w:t>
      </w:r>
      <w:r w:rsidR="00162FAD">
        <w:t xml:space="preserve"> of Medicine, </w:t>
      </w:r>
      <w:r>
        <w:t>University of California San Diego, San Diego, California</w:t>
      </w:r>
      <w:r w:rsidR="008F7C29">
        <w:t>, 92093</w:t>
      </w:r>
    </w:p>
    <w:p w14:paraId="3836D892" w14:textId="77777777" w:rsidR="00956A27" w:rsidRPr="00956A27" w:rsidRDefault="00162FAD" w:rsidP="00956A27">
      <w:pPr>
        <w:jc w:val="center"/>
      </w:pPr>
      <w:r>
        <w:t>4</w:t>
      </w:r>
      <w:r w:rsidR="00956A27">
        <w:t xml:space="preserve">: </w:t>
      </w:r>
      <w:r>
        <w:t xml:space="preserve">Intelligent Systems Engineering, </w:t>
      </w:r>
      <w:r w:rsidR="00956A27">
        <w:t xml:space="preserve">Indiana University, </w:t>
      </w:r>
      <w:r>
        <w:t>Bloomington</w:t>
      </w:r>
      <w:r w:rsidR="00956A27">
        <w:t>, Indiana</w:t>
      </w:r>
      <w:r w:rsidR="008F7C29">
        <w:t>, 47405</w:t>
      </w:r>
    </w:p>
    <w:p w14:paraId="2B1F30EE" w14:textId="77777777" w:rsidR="00956A27" w:rsidRPr="00956A27" w:rsidRDefault="008F7C29" w:rsidP="00956A27">
      <w:pPr>
        <w:jc w:val="center"/>
      </w:pPr>
      <w:r w:rsidRPr="008F7C29">
        <w:t>‡:</w:t>
      </w:r>
      <w:r>
        <w:t xml:space="preserve"> corresponding author, </w:t>
      </w:r>
      <w:r w:rsidR="00956A27">
        <w:t>*: former</w:t>
      </w:r>
      <w:r>
        <w:t xml:space="preserve"> institution, </w:t>
      </w:r>
      <w:r w:rsidR="00956A27">
        <w:t>†: Current</w:t>
      </w:r>
      <w:r>
        <w:t xml:space="preserve"> institution</w:t>
      </w:r>
    </w:p>
    <w:p w14:paraId="66A4F6C5" w14:textId="77777777" w:rsidR="00DF13C8" w:rsidRPr="00624952" w:rsidRDefault="00DF13C8" w:rsidP="00EA7AD4"/>
    <w:p w14:paraId="619BDB60" w14:textId="77777777" w:rsidR="00255B67" w:rsidRPr="00624952" w:rsidRDefault="00255B67" w:rsidP="00EA7AD4">
      <w:pPr>
        <w:pStyle w:val="Heading1"/>
      </w:pPr>
      <w:r w:rsidRPr="00624952">
        <w:t>Abstract</w:t>
      </w:r>
    </w:p>
    <w:p w14:paraId="333BDCB9" w14:textId="77777777" w:rsidR="00D555C5" w:rsidRPr="00624952" w:rsidRDefault="00D555C5" w:rsidP="00EA7AD4"/>
    <w:p w14:paraId="1A8F7FCC" w14:textId="77777777" w:rsidR="00255B67" w:rsidRDefault="00DB1D89" w:rsidP="00EA7AD4">
      <w:r w:rsidRPr="00624952">
        <w:t>We describe a</w:t>
      </w:r>
      <w:r w:rsidR="00580A08" w:rsidRPr="00624952">
        <w:t>n integ</w:t>
      </w:r>
      <w:r w:rsidR="006C2011" w:rsidRPr="00624952">
        <w:t>rated experimental-computational</w:t>
      </w:r>
      <w:r w:rsidRPr="00624952">
        <w:t xml:space="preserve"> pipeline for quantifying cell migration </w:t>
      </w:r>
      <w:r w:rsidRPr="00AE37B8">
        <w:rPr>
          <w:i/>
        </w:rPr>
        <w:t>in vitro</w:t>
      </w:r>
      <w:r w:rsidRPr="00624952">
        <w:t>. This pipeline is robust</w:t>
      </w:r>
      <w:r w:rsidRPr="00AA43B9">
        <w:t xml:space="preserve"> </w:t>
      </w:r>
      <w:r w:rsidRPr="00624952">
        <w:t xml:space="preserve">to image noise, open source, and user friendly. </w:t>
      </w:r>
      <w:r w:rsidR="00AE37B8">
        <w:t xml:space="preserve">The experimental component uses the </w:t>
      </w:r>
      <w:proofErr w:type="spellStart"/>
      <w:r w:rsidR="00AE37B8">
        <w:t>Oris</w:t>
      </w:r>
      <w:proofErr w:type="spellEnd"/>
      <w:r w:rsidR="00AE37B8">
        <w:t xml:space="preserve"> cell migration assay (Platypus Technologies) to create migration regions</w:t>
      </w:r>
      <w:r w:rsidR="004B7FD6" w:rsidRPr="00624952">
        <w:t xml:space="preserve">. </w:t>
      </w:r>
      <w:r w:rsidR="00AE37B8" w:rsidRPr="00AA43B9">
        <w:t xml:space="preserve">The computational component of the pipeline </w:t>
      </w:r>
      <w:r w:rsidR="00AE37B8">
        <w:t xml:space="preserve">creates masks in </w:t>
      </w:r>
      <w:proofErr w:type="spellStart"/>
      <w:r w:rsidR="00AE37B8">
        <w:t>Matlab</w:t>
      </w:r>
      <w:proofErr w:type="spellEnd"/>
      <w:r w:rsidR="00AE37B8">
        <w:t xml:space="preserve"> (MathWorks) </w:t>
      </w:r>
      <w:r w:rsidR="00AE37B8" w:rsidRPr="00AA43B9">
        <w:t xml:space="preserve">to </w:t>
      </w:r>
      <w:r w:rsidR="00AE37B8">
        <w:t>cell-covered regions</w:t>
      </w:r>
      <w:r w:rsidR="00AE37B8" w:rsidRPr="00AA43B9">
        <w:t xml:space="preserve">, </w:t>
      </w:r>
      <w:r w:rsidR="00AE37B8">
        <w:t>uses a genetic algorithm to automatically select t</w:t>
      </w:r>
      <w:r w:rsidR="00AE37B8" w:rsidRPr="00AA43B9">
        <w:t xml:space="preserve">he migration region, and </w:t>
      </w:r>
      <w:r w:rsidR="00AE37B8">
        <w:t xml:space="preserve">outputs a metric to </w:t>
      </w:r>
      <w:r w:rsidR="00AE37B8" w:rsidRPr="00AA43B9">
        <w:t xml:space="preserve">quantify </w:t>
      </w:r>
      <w:r w:rsidR="00CE2B71">
        <w:t xml:space="preserve">cell </w:t>
      </w:r>
      <w:r w:rsidR="00AE37B8" w:rsidRPr="00AA43B9">
        <w:t>migration.</w:t>
      </w:r>
      <w:r w:rsidR="004A2F0B" w:rsidRPr="00624952">
        <w:t xml:space="preserve"> </w:t>
      </w:r>
      <w:r w:rsidRPr="00624952">
        <w:t xml:space="preserve">In this work we demonstrate the utility of our pipeline by quantifying the effects of a drug (Taxol) and of </w:t>
      </w:r>
      <w:r w:rsidR="00CC1526">
        <w:t xml:space="preserve">the </w:t>
      </w:r>
      <w:r w:rsidR="00CE2B71">
        <w:t xml:space="preserve">extracellular </w:t>
      </w:r>
      <w:r w:rsidR="00CC1526" w:rsidRPr="00CC1526">
        <w:t>Anterior Gradient 2</w:t>
      </w:r>
      <w:r w:rsidR="00CC1526">
        <w:t xml:space="preserve"> (</w:t>
      </w:r>
      <w:r w:rsidR="00CE2B71">
        <w:t>eAGR2</w:t>
      </w:r>
      <w:r w:rsidR="00CC1526">
        <w:t>) protein</w:t>
      </w:r>
      <w:r w:rsidRPr="00624952">
        <w:t xml:space="preserve"> </w:t>
      </w:r>
      <w:r w:rsidR="00CE2B71">
        <w:t>on</w:t>
      </w:r>
      <w:r w:rsidR="00CE2B71" w:rsidRPr="00624952">
        <w:t xml:space="preserve"> </w:t>
      </w:r>
      <w:r w:rsidRPr="00624952">
        <w:t>the migration of MDA-MB-231 cells</w:t>
      </w:r>
      <w:r w:rsidR="002D3E59">
        <w:t xml:space="preserve"> (a breast cancer </w:t>
      </w:r>
      <w:r w:rsidR="00BC6999">
        <w:t>cell line</w:t>
      </w:r>
      <w:r w:rsidR="002D3E59">
        <w:t>)</w:t>
      </w:r>
      <w:r w:rsidRPr="00624952">
        <w:t xml:space="preserve">. In particular, </w:t>
      </w:r>
      <w:r w:rsidR="00AE37B8">
        <w:t xml:space="preserve">we show that </w:t>
      </w:r>
      <w:r w:rsidR="000F54CB">
        <w:t xml:space="preserve">inhibiting </w:t>
      </w:r>
      <w:r w:rsidR="00CE2B71">
        <w:t xml:space="preserve">eAGR2 </w:t>
      </w:r>
      <w:r w:rsidR="00AE37B8">
        <w:t>redu</w:t>
      </w:r>
      <w:r w:rsidR="00CC1526">
        <w:t>ce</w:t>
      </w:r>
      <w:r w:rsidR="004D0654">
        <w:t>s</w:t>
      </w:r>
      <w:r w:rsidR="00CC1526">
        <w:t xml:space="preserve"> migration of MDA-MB-231 cells</w:t>
      </w:r>
      <w:r w:rsidRPr="00624952">
        <w:t>.</w:t>
      </w:r>
    </w:p>
    <w:p w14:paraId="0E267FBE" w14:textId="77777777" w:rsidR="009D3F67" w:rsidRDefault="009D3F67" w:rsidP="00EA7AD4"/>
    <w:p w14:paraId="75FF4C33" w14:textId="77777777" w:rsidR="009D3F67" w:rsidRDefault="00D6624D" w:rsidP="00D6624D">
      <w:pPr>
        <w:pStyle w:val="Heading1"/>
      </w:pPr>
      <w:r>
        <w:t>Keyw</w:t>
      </w:r>
      <w:r w:rsidR="009D3F67">
        <w:t>ords</w:t>
      </w:r>
    </w:p>
    <w:p w14:paraId="5E1B38DC" w14:textId="77777777" w:rsidR="00D6624D" w:rsidRDefault="00D6624D" w:rsidP="00EA7AD4"/>
    <w:p w14:paraId="55614555" w14:textId="77777777" w:rsidR="009D3F67" w:rsidRPr="00624952" w:rsidRDefault="00D6624D" w:rsidP="00EA7AD4">
      <w:r>
        <w:t>Migration, Quantification, User-Friendly, Microscopy.</w:t>
      </w:r>
    </w:p>
    <w:p w14:paraId="0FADBFEC" w14:textId="77777777" w:rsidR="00A3426F" w:rsidRPr="00624952" w:rsidRDefault="00A3426F" w:rsidP="00EA7AD4"/>
    <w:p w14:paraId="17A885BF" w14:textId="77777777" w:rsidR="00DF13C8" w:rsidRPr="00E84349" w:rsidRDefault="00A3426F" w:rsidP="00E84349">
      <w:pPr>
        <w:pStyle w:val="Heading1"/>
        <w:jc w:val="left"/>
        <w:rPr>
          <w:u w:val="none"/>
        </w:rPr>
      </w:pPr>
      <w:commentRangeStart w:id="0"/>
      <w:commentRangeStart w:id="1"/>
      <w:r w:rsidRPr="00E84349">
        <w:rPr>
          <w:u w:val="none"/>
        </w:rPr>
        <w:t>Introduction</w:t>
      </w:r>
      <w:commentRangeEnd w:id="0"/>
      <w:r w:rsidR="0025765B" w:rsidRPr="00AC1C90">
        <w:rPr>
          <w:rStyle w:val="CommentReference"/>
          <w:rFonts w:ascii="Source Sans Pro" w:hAnsi="Source Sans Pro"/>
          <w:b w:val="0"/>
          <w:u w:val="none"/>
        </w:rPr>
        <w:commentReference w:id="0"/>
      </w:r>
      <w:commentRangeEnd w:id="1"/>
      <w:r w:rsidR="00E84349">
        <w:rPr>
          <w:rStyle w:val="CommentReference"/>
          <w:rFonts w:ascii="Source Sans Pro" w:hAnsi="Source Sans Pro"/>
          <w:b w:val="0"/>
          <w:u w:val="none"/>
        </w:rPr>
        <w:commentReference w:id="1"/>
      </w:r>
    </w:p>
    <w:p w14:paraId="371FAF07" w14:textId="77777777" w:rsidR="00D555C5" w:rsidRPr="00624952" w:rsidRDefault="00D555C5" w:rsidP="00EA7AD4">
      <w:pPr>
        <w:pStyle w:val="Heading2"/>
        <w:spacing w:before="0"/>
      </w:pPr>
    </w:p>
    <w:p w14:paraId="7861C520" w14:textId="77777777" w:rsidR="00366A22" w:rsidRPr="00624952" w:rsidRDefault="00366A22" w:rsidP="00EA7AD4"/>
    <w:p w14:paraId="42B7E5AA" w14:textId="0ED0713B" w:rsidR="00B32547" w:rsidRDefault="00DF13C8" w:rsidP="00EA7AD4">
      <w:r w:rsidRPr="00624952">
        <w:t>In order to understand and treat cancer, we need to study and ultimately control metastasis</w:t>
      </w:r>
      <w:r w:rsidR="00366A22" w:rsidRPr="00624952">
        <w:t xml:space="preserve"> </w:t>
      </w:r>
      <w:r w:rsidR="00532C23" w:rsidRPr="00624952">
        <w:fldChar w:fldCharType="begin"/>
      </w:r>
      <w:r w:rsidR="00EF7152">
        <w:instrText xml:space="preserve"> ADDIN EN.CITE &lt;EndNote&gt;&lt;Cite&gt;&lt;Author&gt;Jones&lt;/Author&gt;&lt;Year&gt;2006&lt;/Year&gt;&lt;RecNum&gt;147&lt;/RecNum&gt;&lt;DisplayText&gt;[1]&lt;/DisplayText&gt;&lt;record&gt;&lt;rec-number&gt;147&lt;/rec-number&gt;&lt;foreign-keys&gt;&lt;key app="EN" db-id="de2xv2xvcrztxfexexkpzfznzsaersvvfe02" timestamp="1476142452"&gt;147&lt;/key&gt;&lt;/foreign-keys&gt;&lt;ref-type name="Journal Article"&gt;17&lt;/ref-type&gt;&lt;contributors&gt;&lt;authors&gt;&lt;author&gt;Jones, D Holstead&lt;/author&gt;&lt;author&gt;Nakashima, Tomoki&lt;/author&gt;&lt;author&gt;Sanchez, Otto H&lt;/author&gt;&lt;author&gt;Kozieradzki, Ivona&lt;/author&gt;&lt;author&gt;Komarova, Svetlana V&lt;/author&gt;&lt;author&gt;Sarosi, Ildiko&lt;/author&gt;&lt;author&gt;Morony, Sean&lt;/author&gt;&lt;author&gt;Rubin, Evelyn&lt;/author&gt;&lt;author&gt;Sarao, Renu&lt;/author&gt;&lt;author&gt;Hojilla, Carlo V&lt;/author&gt;&lt;/authors&gt;&lt;/contributors&gt;&lt;titles&gt;&lt;title&gt;Regulation of cancer cell migration and bone metastasis by RANKL&lt;/title&gt;&lt;secondary-title&gt;Nature&lt;/secondary-title&gt;&lt;/titles&gt;&lt;periodical&gt;&lt;full-title&gt;Nature&lt;/full-title&gt;&lt;/periodical&gt;&lt;pages&gt;692-696&lt;/pages&gt;&lt;volume&gt;440&lt;/volume&gt;&lt;number&gt;7084&lt;/number&gt;&lt;dates&gt;&lt;year&gt;2006&lt;/year&gt;&lt;/dates&gt;&lt;isbn&gt;0028-0836&lt;/isbn&gt;&lt;urls&gt;&lt;/urls&gt;&lt;/record&gt;&lt;/Cite&gt;&lt;/EndNote&gt;</w:instrText>
      </w:r>
      <w:r w:rsidR="00532C23" w:rsidRPr="00624952">
        <w:fldChar w:fldCharType="separate"/>
      </w:r>
      <w:r w:rsidR="00EF7152">
        <w:rPr>
          <w:noProof/>
        </w:rPr>
        <w:t>[1]</w:t>
      </w:r>
      <w:r w:rsidR="00532C23" w:rsidRPr="00624952">
        <w:fldChar w:fldCharType="end"/>
      </w:r>
      <w:r w:rsidRPr="00624952">
        <w:t>. A key aspect of metastasis is cell migration</w:t>
      </w:r>
      <w:r w:rsidR="00AE717E" w:rsidRPr="00624952">
        <w:t xml:space="preserve"> </w:t>
      </w:r>
      <w:r w:rsidR="00532C23" w:rsidRPr="00624952">
        <w:fldChar w:fldCharType="begin"/>
      </w:r>
      <w:r w:rsidR="00EF7152">
        <w:instrText xml:space="preserve"> ADDIN EN.CITE &lt;EndNote&gt;&lt;Cite&gt;&lt;Author&gt;Jones&lt;/Author&gt;&lt;Year&gt;2006&lt;/Year&gt;&lt;RecNum&gt;147&lt;/RecNum&gt;&lt;DisplayText&gt;[1]&lt;/DisplayText&gt;&lt;record&gt;&lt;rec-number&gt;147&lt;/rec-number&gt;&lt;foreign-keys&gt;&lt;key app="EN" db-id="de2xv2xvcrztxfexexkpzfznzsaersvvfe02" timestamp="1476142452"&gt;147&lt;/key&gt;&lt;/foreign-keys&gt;&lt;ref-type name="Journal Article"&gt;17&lt;/ref-type&gt;&lt;contributors&gt;&lt;authors&gt;&lt;author&gt;Jones, D Holstead&lt;/author&gt;&lt;author&gt;Nakashima, Tomoki&lt;/author&gt;&lt;author&gt;Sanchez, Otto H&lt;/author&gt;&lt;author&gt;Kozieradzki, Ivona&lt;/author&gt;&lt;author&gt;Komarova, Svetlana V&lt;/author&gt;&lt;author&gt;Sarosi, Ildiko&lt;/author&gt;&lt;author&gt;Morony, Sean&lt;/author&gt;&lt;author&gt;Rubin, Evelyn&lt;/author&gt;&lt;author&gt;Sarao, Renu&lt;/author&gt;&lt;author&gt;Hojilla, Carlo V&lt;/author&gt;&lt;/authors&gt;&lt;/contributors&gt;&lt;titles&gt;&lt;title&gt;Regulation of cancer cell migration and bone metastasis by RANKL&lt;/title&gt;&lt;secondary-title&gt;Nature&lt;/secondary-title&gt;&lt;/titles&gt;&lt;periodical&gt;&lt;full-title&gt;Nature&lt;/full-title&gt;&lt;/periodical&gt;&lt;pages&gt;692-696&lt;/pages&gt;&lt;volume&gt;440&lt;/volume&gt;&lt;number&gt;7084&lt;/number&gt;&lt;dates&gt;&lt;year&gt;2006&lt;/year&gt;&lt;/dates&gt;&lt;isbn&gt;0028-0836&lt;/isbn&gt;&lt;urls&gt;&lt;/urls&gt;&lt;/record&gt;&lt;/Cite&gt;&lt;/EndNote&gt;</w:instrText>
      </w:r>
      <w:r w:rsidR="00532C23" w:rsidRPr="00624952">
        <w:fldChar w:fldCharType="separate"/>
      </w:r>
      <w:r w:rsidR="00EF7152">
        <w:rPr>
          <w:noProof/>
        </w:rPr>
        <w:t>[1]</w:t>
      </w:r>
      <w:r w:rsidR="00532C23" w:rsidRPr="00624952">
        <w:fldChar w:fldCharType="end"/>
      </w:r>
      <w:r w:rsidRPr="00624952">
        <w:t xml:space="preserve">. </w:t>
      </w:r>
      <w:r w:rsidR="00B32547">
        <w:t xml:space="preserve"> Thus, assays that can reliably provide quantitative readouts of cell migration are an important component of cancer research.  Here we describe an integrated computational pipeline</w:t>
      </w:r>
      <w:r w:rsidR="00125E41">
        <w:t xml:space="preserve"> to quantify cell migration using fluorescent </w:t>
      </w:r>
      <w:r w:rsidR="0025765B">
        <w:t xml:space="preserve">microscopy. </w:t>
      </w:r>
    </w:p>
    <w:p w14:paraId="23F26FD8" w14:textId="77777777" w:rsidR="00B32547" w:rsidRDefault="00B32547" w:rsidP="00EA7AD4"/>
    <w:p w14:paraId="26B97714" w14:textId="77777777" w:rsidR="00DF13C8" w:rsidRPr="00624952" w:rsidRDefault="00DF13C8" w:rsidP="00EA7AD4">
      <w:r w:rsidRPr="00624952">
        <w:t>The anterior gradient protein 2 (AGR2) has been shown to promote cell migration</w:t>
      </w:r>
      <w:r w:rsidR="00AC2A15" w:rsidRPr="00624952">
        <w:t xml:space="preserve"> </w:t>
      </w:r>
      <w:r w:rsidR="00532C23" w:rsidRPr="00624952">
        <w:fldChar w:fldCharType="begin"/>
      </w:r>
      <w:r w:rsidR="00EF7152">
        <w:instrText xml:space="preserve"> ADDIN EN.CITE &lt;EndNote&gt;&lt;Cite&gt;&lt;Author&gt;Brychtova&lt;/Author&gt;&lt;Year&gt;2015&lt;/Year&gt;&lt;RecNum&gt;148&lt;/RecNum&gt;&lt;DisplayText&gt;[2]&lt;/DisplayText&gt;&lt;record&gt;&lt;rec-number&gt;148&lt;/rec-number&gt;&lt;foreign-keys&gt;&lt;key app="EN" db-id="de2xv2xvcrztxfexexkpzfznzsaersvvfe02" timestamp="1476142634"&gt;148&lt;/key&gt;&lt;/foreign-keys&gt;&lt;ref-type name="Conference Proceedings"&gt;10&lt;/ref-type&gt;&lt;contributors&gt;&lt;authors&gt;&lt;author&gt;Brychtova, Veronika&lt;/author&gt;&lt;author&gt;Mohtar, Aiman&lt;/author&gt;&lt;author&gt;Vojtesek, Borivoj&lt;/author&gt;&lt;author&gt;Hupp, Ted R&lt;/author&gt;&lt;/authors&gt;&lt;/contributors&gt;&lt;titles&gt;&lt;title&gt;Mechanisms of anterior gradient-2 regulation and function in cancer&lt;/title&gt;&lt;secondary-title&gt;Seminars in cancer biology&lt;/secondary-title&gt;&lt;/titles&gt;&lt;pages&gt;16-24&lt;/pages&gt;&lt;volume&gt;33&lt;/volume&gt;&lt;dates&gt;&lt;year&gt;2015&lt;/year&gt;&lt;/dates&gt;&lt;publisher&gt;Elsevier&lt;/publisher&gt;&lt;isbn&gt;1044-579X&lt;/isbn&gt;&lt;urls&gt;&lt;/urls&gt;&lt;/record&gt;&lt;/Cite&gt;&lt;/EndNote&gt;</w:instrText>
      </w:r>
      <w:r w:rsidR="00532C23" w:rsidRPr="00624952">
        <w:fldChar w:fldCharType="separate"/>
      </w:r>
      <w:r w:rsidR="00EF7152">
        <w:rPr>
          <w:noProof/>
        </w:rPr>
        <w:t>[2]</w:t>
      </w:r>
      <w:r w:rsidR="00532C23" w:rsidRPr="00624952">
        <w:fldChar w:fldCharType="end"/>
      </w:r>
      <w:r w:rsidRPr="00624952">
        <w:t>.</w:t>
      </w:r>
      <w:r w:rsidR="00AC2A15" w:rsidRPr="00624952">
        <w:t xml:space="preserve"> High expression of AGR2 </w:t>
      </w:r>
      <w:r w:rsidR="004642CB">
        <w:t xml:space="preserve">is </w:t>
      </w:r>
      <w:r w:rsidR="00AC2A15" w:rsidRPr="00624952">
        <w:t>correlated with aggressive form</w:t>
      </w:r>
      <w:r w:rsidR="00122967" w:rsidRPr="00624952">
        <w:t>s</w:t>
      </w:r>
      <w:r w:rsidR="00AC2A15" w:rsidRPr="00624952">
        <w:t xml:space="preserve"> of</w:t>
      </w:r>
      <w:r w:rsidR="00AC2A15" w:rsidRPr="00AA43B9">
        <w:t xml:space="preserve"> </w:t>
      </w:r>
      <w:r w:rsidR="002C1EAC">
        <w:t>various adenocarcinomas including</w:t>
      </w:r>
      <w:r w:rsidR="00AC2A15" w:rsidRPr="00624952">
        <w:t xml:space="preserve"> prostate </w:t>
      </w:r>
      <w:r w:rsidR="00532C23" w:rsidRPr="00624952">
        <w:fldChar w:fldCharType="begin"/>
      </w:r>
      <w:r w:rsidR="00EF7152">
        <w:instrText xml:space="preserve"> ADDIN EN.CITE &lt;EndNote&gt;&lt;Cite&gt;&lt;Author&gt;Kani&lt;/Author&gt;&lt;Year&gt;2013&lt;/Year&gt;&lt;RecNum&gt;150&lt;/RecNum&gt;&lt;DisplayText&gt;[3]&lt;/DisplayText&gt;&lt;record&gt;&lt;rec-number&gt;150&lt;/rec-number&gt;&lt;foreign-keys&gt;&lt;key app="EN" db-id="de2xv2xvcrztxfexexkpzfznzsaersvvfe02" timestamp="1476143065"&gt;150&lt;/key&gt;&lt;/foreign-keys&gt;&lt;ref-type name="Journal Article"&gt;17&lt;/ref-type&gt;&lt;contributors&gt;&lt;authors&gt;&lt;author&gt;Kani, Kian&lt;/author&gt;&lt;author&gt;Malihi, Paymaneh D&lt;/author&gt;&lt;author&gt;Jiang, Yuqiu&lt;/author&gt;&lt;author&gt;Wang, Haiying&lt;/author&gt;&lt;author&gt;Wang, Yixin&lt;/author&gt;&lt;author&gt;Ruderman, Daniel L&lt;/author&gt;&lt;author&gt;Agus, David B&lt;/author&gt;&lt;author&gt;Mallick, Parag&lt;/author&gt;&lt;author&gt;Gross, Mitchell E&lt;/author&gt;&lt;/authors&gt;&lt;/contributors&gt;&lt;titles&gt;&lt;title&gt;Anterior gradient 2 (AGR2): Blood</w:instrText>
      </w:r>
      <w:r w:rsidR="00EF7152">
        <w:rPr>
          <w:rFonts w:ascii="Cambria Math" w:hAnsi="Cambria Math" w:cs="Cambria Math"/>
        </w:rPr>
        <w:instrText>‐</w:instrText>
      </w:r>
      <w:r w:rsidR="00EF7152">
        <w:instrText>based biomarker elevated in metastatic prostate cancer associated with the neuroendocrine phenotype&lt;/title&gt;&lt;secondary-title&gt;The Prostate&lt;/secondary-title&gt;&lt;/titles&gt;&lt;periodical&gt;&lt;full-title&gt;The Prostate&lt;/full-title&gt;&lt;/periodical&gt;&lt;pages&gt;306-315&lt;/pages&gt;&lt;volume&gt;73&lt;/volume&gt;&lt;number&gt;3&lt;/number&gt;&lt;dates&gt;&lt;year&gt;2013&lt;/year&gt;&lt;/dates&gt;&lt;isbn&gt;1097-0045&lt;/isbn&gt;&lt;urls&gt;&lt;/urls&gt;&lt;/record&gt;&lt;/Cite&gt;&lt;/EndNote&gt;</w:instrText>
      </w:r>
      <w:r w:rsidR="00532C23" w:rsidRPr="00624952">
        <w:fldChar w:fldCharType="separate"/>
      </w:r>
      <w:r w:rsidR="00EF7152">
        <w:rPr>
          <w:noProof/>
        </w:rPr>
        <w:t>[3]</w:t>
      </w:r>
      <w:r w:rsidR="00532C23" w:rsidRPr="00624952">
        <w:fldChar w:fldCharType="end"/>
      </w:r>
      <w:r w:rsidR="00AC2A15" w:rsidRPr="00624952">
        <w:t xml:space="preserve"> and breast cancer </w:t>
      </w:r>
      <w:r w:rsidR="00532C23" w:rsidRPr="00624952">
        <w:fldChar w:fldCharType="begin"/>
      </w:r>
      <w:r w:rsidR="00EF7152">
        <w:instrText xml:space="preserve"> ADDIN EN.CITE &lt;EndNote&gt;&lt;Cite&gt;&lt;Author&gt;Fritzsche&lt;/Author&gt;&lt;Year&gt;2006&lt;/Year&gt;&lt;RecNum&gt;151&lt;/RecNum&gt;&lt;DisplayText&gt;[4]&lt;/DisplayText&gt;&lt;record&gt;&lt;rec-number&gt;151&lt;/rec-number&gt;&lt;foreign-keys&gt;&lt;key app="EN" db-id="de2xv2xvcrztxfexexkpzfznzsaersvvfe02" timestamp="1476143256"&gt;151&lt;/key&gt;&lt;/foreign-keys&gt;&lt;ref-type name="Journal Article"&gt;17&lt;/ref-type&gt;&lt;contributors&gt;&lt;authors&gt;&lt;author&gt;Fritzsche, Florian Rudolf&lt;/author&gt;&lt;author&gt;Dahl, Edgar&lt;/author&gt;&lt;author&gt;Pahl, Stefan&lt;/author&gt;&lt;author&gt;Burkhardt, Mick&lt;/author&gt;&lt;author&gt;Luo, Jun&lt;/author&gt;&lt;author&gt;Mayordomo, Empar&lt;/author&gt;&lt;author&gt;Gansukh, Tserenchunt&lt;/author&gt;&lt;author&gt;Dankof, Anja&lt;/author&gt;&lt;author&gt;Knuechel, Ruth&lt;/author&gt;&lt;author&gt;Denkert, Carsten&lt;/author&gt;&lt;/authors&gt;&lt;/contributors&gt;&lt;titles&gt;&lt;title&gt;Prognostic relevance of AGR2 expression in breast cancer&lt;/title&gt;&lt;secondary-title&gt;Clinical Cancer Research&lt;/secondary-title&gt;&lt;/titles&gt;&lt;periodical&gt;&lt;full-title&gt;Clinical Cancer Research&lt;/full-title&gt;&lt;/periodical&gt;&lt;pages&gt;1728-1734&lt;/pages&gt;&lt;volume&gt;12&lt;/volume&gt;&lt;number&gt;6&lt;/number&gt;&lt;dates&gt;&lt;year&gt;2006&lt;/year&gt;&lt;/dates&gt;&lt;isbn&gt;1078-0432&lt;/isbn&gt;&lt;urls&gt;&lt;/urls&gt;&lt;/record&gt;&lt;/Cite&gt;&lt;/EndNote&gt;</w:instrText>
      </w:r>
      <w:r w:rsidR="00532C23" w:rsidRPr="00624952">
        <w:fldChar w:fldCharType="separate"/>
      </w:r>
      <w:r w:rsidR="00EF7152">
        <w:rPr>
          <w:noProof/>
        </w:rPr>
        <w:t>[4]</w:t>
      </w:r>
      <w:r w:rsidR="00532C23" w:rsidRPr="00624952">
        <w:fldChar w:fldCharType="end"/>
      </w:r>
      <w:r w:rsidR="00AC2A15" w:rsidRPr="00624952">
        <w:t xml:space="preserve">. Therefore, AGR2 </w:t>
      </w:r>
      <w:r w:rsidR="00125E41">
        <w:t xml:space="preserve">is </w:t>
      </w:r>
      <w:r w:rsidR="00AC2A15" w:rsidRPr="00624952">
        <w:t xml:space="preserve">a </w:t>
      </w:r>
      <w:r w:rsidR="002C1EAC">
        <w:t>bio</w:t>
      </w:r>
      <w:r w:rsidR="00AC2A15" w:rsidRPr="00AA43B9">
        <w:t>marker</w:t>
      </w:r>
      <w:r w:rsidR="00AC2A15" w:rsidRPr="00624952">
        <w:t xml:space="preserve"> and </w:t>
      </w:r>
      <w:r w:rsidR="00A76770">
        <w:t>therapeutic</w:t>
      </w:r>
      <w:r w:rsidR="00AC2A15" w:rsidRPr="00624952">
        <w:t xml:space="preserve"> target </w:t>
      </w:r>
      <w:r w:rsidR="00125E41">
        <w:t xml:space="preserve">that will provide a suitable </w:t>
      </w:r>
      <w:r w:rsidR="005C1F2E">
        <w:t>biological readout of cell migration for our pipeline to quantify.</w:t>
      </w:r>
      <w:r w:rsidR="00162FAD">
        <w:t xml:space="preserve"> In other words, because AGR2 is known to promote cell migration, it is ideal for testing a computational platform’s ability to detect changes in cell migration.</w:t>
      </w:r>
    </w:p>
    <w:p w14:paraId="341A0A4A" w14:textId="77777777" w:rsidR="00D555C5" w:rsidRPr="00624952" w:rsidRDefault="00D555C5" w:rsidP="00EA7AD4"/>
    <w:p w14:paraId="6609926C" w14:textId="6D94A2FF" w:rsidR="0025765B" w:rsidRPr="0025765B" w:rsidRDefault="00DF13C8" w:rsidP="0025765B">
      <w:r w:rsidRPr="00624952">
        <w:t xml:space="preserve">In this work, we describe an experimental and computational pipeline to </w:t>
      </w:r>
      <w:r w:rsidR="00D157C9">
        <w:t>quantitate</w:t>
      </w:r>
      <w:r w:rsidR="00D157C9" w:rsidRPr="00624952">
        <w:t xml:space="preserve"> </w:t>
      </w:r>
      <w:r w:rsidRPr="00624952">
        <w:t xml:space="preserve">cell migration. We demonstrate this pipeline by quantifying migration of MDA-MB-231 </w:t>
      </w:r>
      <w:r w:rsidR="009967D5" w:rsidRPr="00624952">
        <w:t xml:space="preserve">cells, </w:t>
      </w:r>
      <w:r w:rsidRPr="00624952">
        <w:t>a breast cancer cell line know</w:t>
      </w:r>
      <w:r w:rsidR="00B709CC" w:rsidRPr="00624952">
        <w:t>n</w:t>
      </w:r>
      <w:r w:rsidR="009967D5" w:rsidRPr="00624952">
        <w:t xml:space="preserve"> to migrate </w:t>
      </w:r>
      <w:r w:rsidR="000340E6">
        <w:t xml:space="preserve">aggressively </w:t>
      </w:r>
      <w:r w:rsidR="00532C23" w:rsidRPr="00624952">
        <w:fldChar w:fldCharType="begin"/>
      </w:r>
      <w:r w:rsidR="00EF7152">
        <w:instrText xml:space="preserve"> ADDIN EN.CITE &lt;EndNote&gt;&lt;Cite&gt;&lt;Author&gt;Price&lt;/Author&gt;&lt;Year&gt;1999&lt;/Year&gt;&lt;RecNum&gt;152&lt;/RecNum&gt;&lt;DisplayText&gt;[5]&lt;/DisplayText&gt;&lt;record&gt;&lt;rec-number&gt;152&lt;/rec-number&gt;&lt;foreign-keys&gt;&lt;key app="EN" db-id="de2xv2xvcrztxfexexkpzfznzsaersvvfe02" timestamp="1476143847"&gt;152&lt;/key&gt;&lt;/foreign-keys&gt;&lt;ref-type name="Journal Article"&gt;17&lt;/ref-type&gt;&lt;contributors&gt;&lt;authors&gt;&lt;author&gt;Price, John T&lt;/author&gt;&lt;author&gt;Tiganis, Tony&lt;/author&gt;&lt;author&gt;Agarwal, Anurag&lt;/author&gt;&lt;author&gt;Djakiew, Daniel&lt;/author&gt;&lt;author&gt;Thompson, Erik W&lt;/author&gt;&lt;/authors&gt;&lt;/contributors&gt;&lt;titles&gt;&lt;title&gt;Epidermal growth factor promotes MDA-MB-231 breast cancer cell migration through a phosphatidylinositol 3′-kinase and phospholipase C-dependent mechanism&lt;/title&gt;&lt;secondary-title&gt;Cancer research&lt;/secondary-title&gt;&lt;/titles&gt;&lt;periodical&gt;&lt;full-title&gt;Cancer research&lt;/full-title&gt;&lt;/periodical&gt;&lt;pages&gt;5475-5478&lt;/pages&gt;&lt;volume&gt;59&lt;/volume&gt;&lt;number&gt;21&lt;/number&gt;&lt;dates&gt;&lt;year&gt;1999&lt;/year&gt;&lt;/dates&gt;&lt;isbn&gt;0008-5472&lt;/isbn&gt;&lt;urls&gt;&lt;/urls&gt;&lt;/record&gt;&lt;/Cite&gt;&lt;/EndNote&gt;</w:instrText>
      </w:r>
      <w:r w:rsidR="00532C23" w:rsidRPr="00624952">
        <w:fldChar w:fldCharType="separate"/>
      </w:r>
      <w:r w:rsidR="00EF7152">
        <w:rPr>
          <w:noProof/>
        </w:rPr>
        <w:t>[5]</w:t>
      </w:r>
      <w:r w:rsidR="00532C23" w:rsidRPr="00624952">
        <w:fldChar w:fldCharType="end"/>
      </w:r>
      <w:r w:rsidRPr="00624952">
        <w:t xml:space="preserve">. </w:t>
      </w:r>
      <w:r w:rsidR="000340E6">
        <w:t xml:space="preserve"> </w:t>
      </w:r>
      <w:r w:rsidRPr="00624952">
        <w:t xml:space="preserve">We show that blocking the </w:t>
      </w:r>
      <w:r w:rsidR="00CE2B71">
        <w:t>extracellu</w:t>
      </w:r>
      <w:r w:rsidR="00AA5688">
        <w:t>l</w:t>
      </w:r>
      <w:r w:rsidR="00CE2B71">
        <w:t>ar</w:t>
      </w:r>
      <w:r w:rsidR="00CE2B71" w:rsidRPr="00624952">
        <w:t xml:space="preserve"> </w:t>
      </w:r>
      <w:r w:rsidRPr="00624952">
        <w:t xml:space="preserve">AGR2 </w:t>
      </w:r>
      <w:r w:rsidR="00537068">
        <w:t>(</w:t>
      </w:r>
      <w:r w:rsidR="00CE2B71">
        <w:t>eAGR2</w:t>
      </w:r>
      <w:r w:rsidR="00537068">
        <w:t>)</w:t>
      </w:r>
      <w:r w:rsidR="008E6838">
        <w:t xml:space="preserve"> with a</w:t>
      </w:r>
      <w:r w:rsidR="00CE2B71">
        <w:t xml:space="preserve"> neutralizing</w:t>
      </w:r>
      <w:r w:rsidR="008E6838">
        <w:t xml:space="preserve"> antibody that binds specifically to AGR2 (referred to as AGR2-Ab)</w:t>
      </w:r>
      <w:r w:rsidR="00537068">
        <w:t xml:space="preserve"> in cell</w:t>
      </w:r>
      <w:r w:rsidRPr="00624952">
        <w:t xml:space="preserve"> medi</w:t>
      </w:r>
      <w:r w:rsidR="00AE37B8">
        <w:t>um</w:t>
      </w:r>
      <w:r w:rsidRPr="00624952">
        <w:t xml:space="preserve"> prevents the migration of the MDA-MB-231 cells.</w:t>
      </w:r>
      <w:r w:rsidR="00735859" w:rsidRPr="00624952">
        <w:t xml:space="preserve"> Our pipeline aids in the verification of </w:t>
      </w:r>
      <w:r w:rsidR="0025765B">
        <w:lastRenderedPageBreak/>
        <w:t>w</w:t>
      </w:r>
      <w:r w:rsidR="00735859" w:rsidRPr="00624952">
        <w:t>ell-established hypotheses and it can be used to test new hypotheses, thus aiding in and accelerating the drug discovery process.</w:t>
      </w:r>
      <w:r w:rsidR="0025765B" w:rsidRPr="0025765B">
        <w:t xml:space="preserve"> </w:t>
      </w:r>
    </w:p>
    <w:p w14:paraId="18431566" w14:textId="77777777" w:rsidR="00DF13C8" w:rsidRPr="00624952" w:rsidRDefault="00DF13C8" w:rsidP="00EA7AD4"/>
    <w:p w14:paraId="6098AD90" w14:textId="77777777" w:rsidR="00BB7423" w:rsidRPr="00BB7423" w:rsidRDefault="00BB7423" w:rsidP="00BB7423"/>
    <w:p w14:paraId="394A2942" w14:textId="7A3E042C" w:rsidR="00D07606" w:rsidRDefault="00DF13C8" w:rsidP="00E84349">
      <w:pPr>
        <w:pStyle w:val="Heading1"/>
        <w:jc w:val="left"/>
      </w:pPr>
      <w:r w:rsidRPr="00E84349">
        <w:rPr>
          <w:u w:val="none"/>
        </w:rPr>
        <w:t>Methods</w:t>
      </w:r>
    </w:p>
    <w:p w14:paraId="642520E6" w14:textId="77777777" w:rsidR="00AC1C90" w:rsidRDefault="00AC1C90" w:rsidP="00D07606">
      <w:pPr>
        <w:rPr>
          <w:b/>
        </w:rPr>
      </w:pPr>
    </w:p>
    <w:p w14:paraId="6D1D9AA5" w14:textId="77777777" w:rsidR="00D07606" w:rsidRPr="0020643D" w:rsidRDefault="00D07606" w:rsidP="00D07606">
      <w:pPr>
        <w:rPr>
          <w:b/>
        </w:rPr>
      </w:pPr>
      <w:commentRangeStart w:id="2"/>
      <w:r w:rsidRPr="0020643D">
        <w:rPr>
          <w:b/>
        </w:rPr>
        <w:t>Cell culture</w:t>
      </w:r>
      <w:commentRangeEnd w:id="2"/>
      <w:r>
        <w:rPr>
          <w:rStyle w:val="CommentReference"/>
        </w:rPr>
        <w:commentReference w:id="2"/>
      </w:r>
    </w:p>
    <w:p w14:paraId="23C2ABB2" w14:textId="77777777" w:rsidR="00D555C5" w:rsidRPr="00624952" w:rsidRDefault="00D555C5" w:rsidP="00EA7AD4"/>
    <w:p w14:paraId="7E4199F6" w14:textId="19F158FB" w:rsidR="0025765B" w:rsidRDefault="00DF13C8" w:rsidP="00EA7AD4">
      <w:r w:rsidRPr="00624952">
        <w:rPr>
          <w:b/>
        </w:rPr>
        <w:t>Cell migration assay</w:t>
      </w:r>
      <w:r w:rsidR="000340E6">
        <w:t xml:space="preserve"> </w:t>
      </w:r>
    </w:p>
    <w:p w14:paraId="35BC6B74" w14:textId="77777777" w:rsidR="0025765B" w:rsidRDefault="0025765B" w:rsidP="00EA7AD4"/>
    <w:p w14:paraId="18730900" w14:textId="77777777" w:rsidR="00DF13C8" w:rsidRDefault="000340E6" w:rsidP="00EA7AD4">
      <w:r>
        <w:t xml:space="preserve">The </w:t>
      </w:r>
      <w:commentRangeStart w:id="4"/>
      <w:proofErr w:type="spellStart"/>
      <w:r w:rsidRPr="000340E6">
        <w:t>Oris</w:t>
      </w:r>
      <w:proofErr w:type="spellEnd"/>
      <w:r w:rsidRPr="000340E6">
        <w:t xml:space="preserve">™ </w:t>
      </w:r>
      <w:r>
        <w:t xml:space="preserve">migration </w:t>
      </w:r>
      <w:r w:rsidRPr="000340E6">
        <w:t>assay</w:t>
      </w:r>
      <w:commentRangeEnd w:id="4"/>
      <w:r w:rsidR="0025765B">
        <w:rPr>
          <w:rStyle w:val="CommentReference"/>
        </w:rPr>
        <w:commentReference w:id="4"/>
      </w:r>
      <w:r w:rsidRPr="000340E6">
        <w:t xml:space="preserve"> </w:t>
      </w:r>
      <w:r w:rsidR="0025765B">
        <w:t xml:space="preserve">(Platypus Technologies, Madison, WI, USA) </w:t>
      </w:r>
      <w:r w:rsidRPr="000340E6">
        <w:t>use</w:t>
      </w:r>
      <w:r w:rsidR="0025765B">
        <w:t>s</w:t>
      </w:r>
      <w:r w:rsidRPr="000340E6">
        <w:t xml:space="preserve"> </w:t>
      </w:r>
      <w:r>
        <w:t xml:space="preserve">a </w:t>
      </w:r>
      <w:r w:rsidRPr="000340E6">
        <w:t xml:space="preserve">physical barrier </w:t>
      </w:r>
      <w:r>
        <w:t xml:space="preserve">“stopper” </w:t>
      </w:r>
      <w:r w:rsidRPr="000340E6">
        <w:t xml:space="preserve">to create a </w:t>
      </w:r>
      <w:r>
        <w:t>defined circular region that is intended</w:t>
      </w:r>
      <w:r w:rsidR="0025765B">
        <w:t xml:space="preserve"> to</w:t>
      </w:r>
      <w:r>
        <w:t xml:space="preserve"> prevent cell adhesion at the start of the assay.  This </w:t>
      </w:r>
      <w:r w:rsidRPr="000340E6">
        <w:t>central cell-free detection zone i</w:t>
      </w:r>
      <w:r>
        <w:t>s in</w:t>
      </w:r>
      <w:r w:rsidRPr="000340E6">
        <w:t xml:space="preserve"> the center of each well of a 96-well plate.</w:t>
      </w:r>
      <w:r>
        <w:t xml:space="preserve"> As the cells migrate to the cell-free zone over 24-48 hours, real-time assessment of migratory cells allows acquisition of </w:t>
      </w:r>
      <w:r w:rsidRPr="000340E6">
        <w:t>richer data sets.</w:t>
      </w:r>
      <w:r>
        <w:t xml:space="preserve">  Since there are no artificial membranes or inserts in the light path through which cells must pass, this assa</w:t>
      </w:r>
      <w:r w:rsidR="00306DF8">
        <w:t>y is amenable to quantification with microscopy.</w:t>
      </w:r>
      <w:r w:rsidR="00BB7423">
        <w:t xml:space="preserve"> </w:t>
      </w:r>
      <w:r w:rsidR="00DF13C8" w:rsidRPr="00AA43B9">
        <w:t>We use</w:t>
      </w:r>
      <w:r w:rsidR="00306DF8">
        <w:t>d</w:t>
      </w:r>
      <w:r w:rsidR="00DF13C8" w:rsidRPr="00624952">
        <w:t xml:space="preserve"> the </w:t>
      </w:r>
      <w:proofErr w:type="spellStart"/>
      <w:r w:rsidR="00DF13C8" w:rsidRPr="00624952">
        <w:t>Oris</w:t>
      </w:r>
      <w:proofErr w:type="spellEnd"/>
      <w:r w:rsidR="00DF13C8" w:rsidRPr="00624952">
        <w:t xml:space="preserve"> cell migration assay from Platypus Technologies to create migration regions by inserting stoppers in e</w:t>
      </w:r>
      <w:r w:rsidR="00BB7423">
        <w:t xml:space="preserve">ach of the 96 wells on a plate. </w:t>
      </w:r>
      <w:r w:rsidR="00DF13C8" w:rsidRPr="00624952">
        <w:t xml:space="preserve">Shortly after inserting the stoppers, we </w:t>
      </w:r>
      <w:r w:rsidR="00DF13C8" w:rsidRPr="00AA43B9">
        <w:t>seed</w:t>
      </w:r>
      <w:r w:rsidR="00306DF8">
        <w:t>ed</w:t>
      </w:r>
      <w:r w:rsidR="00DF13C8" w:rsidRPr="00624952">
        <w:t xml:space="preserve"> MDA-MB-231 cells and </w:t>
      </w:r>
      <w:r w:rsidR="00DF13C8" w:rsidRPr="00AA43B9">
        <w:t>wait</w:t>
      </w:r>
      <w:r w:rsidR="00306DF8">
        <w:t>ed</w:t>
      </w:r>
      <w:r w:rsidR="00DF13C8" w:rsidRPr="00624952">
        <w:t xml:space="preserve"> until they </w:t>
      </w:r>
      <w:r w:rsidR="00306DF8">
        <w:t xml:space="preserve">reached </w:t>
      </w:r>
      <w:r w:rsidR="00DF13C8" w:rsidRPr="00624952">
        <w:t>80% confluent</w:t>
      </w:r>
      <w:r w:rsidR="00E37EF8" w:rsidRPr="00624952">
        <w:t xml:space="preserve"> (approximately </w:t>
      </w:r>
      <w:r w:rsidR="00537068">
        <w:t>24</w:t>
      </w:r>
      <w:r w:rsidR="00E37EF8" w:rsidRPr="00624952">
        <w:rPr>
          <w:i/>
        </w:rPr>
        <w:t xml:space="preserve"> </w:t>
      </w:r>
      <w:r w:rsidR="00E37EF8" w:rsidRPr="00624952">
        <w:t>hours)</w:t>
      </w:r>
      <w:r w:rsidR="00DF13C8" w:rsidRPr="00624952">
        <w:t>.</w:t>
      </w:r>
      <w:r w:rsidR="007518ED">
        <w:t xml:space="preserve"> We then fed cells with </w:t>
      </w:r>
      <w:r w:rsidR="00243F70">
        <w:t xml:space="preserve">either </w:t>
      </w:r>
      <w:r w:rsidR="007518ED">
        <w:t>treated or untreated media.</w:t>
      </w:r>
      <w:r w:rsidR="00DF13C8" w:rsidRPr="00624952">
        <w:t xml:space="preserve"> Next we </w:t>
      </w:r>
      <w:r w:rsidR="00DF13C8" w:rsidRPr="00AA43B9">
        <w:t>remove</w:t>
      </w:r>
      <w:r w:rsidR="00306DF8">
        <w:t>d</w:t>
      </w:r>
      <w:r w:rsidR="00DF13C8" w:rsidRPr="00624952">
        <w:t xml:space="preserve"> the stoppers and </w:t>
      </w:r>
      <w:r w:rsidR="00DF13C8" w:rsidRPr="00AA43B9">
        <w:t>allow</w:t>
      </w:r>
      <w:r w:rsidR="00306DF8">
        <w:t>ed</w:t>
      </w:r>
      <w:r w:rsidR="00DF13C8" w:rsidRPr="00624952">
        <w:t xml:space="preserve"> the cells to move into the migration region. 4</w:t>
      </w:r>
      <w:r w:rsidR="00537068">
        <w:t>8</w:t>
      </w:r>
      <w:r w:rsidR="00DF13C8" w:rsidRPr="00624952">
        <w:t xml:space="preserve"> hours after removal of the stoppers</w:t>
      </w:r>
      <w:r w:rsidR="00306DF8">
        <w:t>,</w:t>
      </w:r>
      <w:r w:rsidR="00DF13C8" w:rsidRPr="00624952">
        <w:t xml:space="preserve"> we </w:t>
      </w:r>
      <w:r w:rsidR="00DF13C8" w:rsidRPr="00AA43B9">
        <w:t>image</w:t>
      </w:r>
      <w:r w:rsidR="00306DF8">
        <w:t>d</w:t>
      </w:r>
      <w:r w:rsidR="00DF13C8" w:rsidRPr="00624952">
        <w:t xml:space="preserve"> each well using </w:t>
      </w:r>
      <w:commentRangeStart w:id="5"/>
      <w:r w:rsidR="00DF13C8" w:rsidRPr="00624952">
        <w:t>a fluorescence microscope.</w:t>
      </w:r>
    </w:p>
    <w:commentRangeEnd w:id="5"/>
    <w:p w14:paraId="102CFFE6" w14:textId="77777777" w:rsidR="0025765B" w:rsidRDefault="00FD5964" w:rsidP="00EA7AD4">
      <w:r>
        <w:rPr>
          <w:rStyle w:val="CommentReference"/>
        </w:rPr>
        <w:commentReference w:id="5"/>
      </w:r>
    </w:p>
    <w:p w14:paraId="26D6A9D7" w14:textId="5AEF492F" w:rsidR="00D07606" w:rsidRDefault="00D07606" w:rsidP="00EA7AD4">
      <w:pPr>
        <w:rPr>
          <w:b/>
        </w:rPr>
      </w:pPr>
      <w:commentRangeStart w:id="6"/>
      <w:r>
        <w:rPr>
          <w:b/>
        </w:rPr>
        <w:t>Implementation</w:t>
      </w:r>
      <w:commentRangeEnd w:id="6"/>
      <w:r>
        <w:rPr>
          <w:rStyle w:val="CommentReference"/>
        </w:rPr>
        <w:commentReference w:id="6"/>
      </w:r>
    </w:p>
    <w:p w14:paraId="143E6A0F" w14:textId="77777777" w:rsidR="00D07606" w:rsidRDefault="00D07606" w:rsidP="00EA7AD4">
      <w:pPr>
        <w:rPr>
          <w:b/>
        </w:rPr>
      </w:pPr>
    </w:p>
    <w:p w14:paraId="397789D5" w14:textId="77777777" w:rsidR="00D07606" w:rsidRPr="00AC1C90" w:rsidRDefault="00D07606" w:rsidP="00EA7AD4">
      <w:commentRangeStart w:id="7"/>
      <w:r w:rsidRPr="00E84349">
        <w:t>Operation</w:t>
      </w:r>
      <w:commentRangeEnd w:id="7"/>
      <w:r>
        <w:rPr>
          <w:rStyle w:val="CommentReference"/>
        </w:rPr>
        <w:commentReference w:id="7"/>
      </w:r>
    </w:p>
    <w:p w14:paraId="39EF75B0" w14:textId="77777777" w:rsidR="00DF13C8" w:rsidRPr="00624952" w:rsidRDefault="00DF13C8" w:rsidP="00EA7AD4"/>
    <w:p w14:paraId="3282BB74" w14:textId="28D76C2A" w:rsidR="0025765B" w:rsidRDefault="00DF13C8" w:rsidP="00EA7AD4">
      <w:r w:rsidRPr="00624952">
        <w:rPr>
          <w:b/>
        </w:rPr>
        <w:t>Automatic selection of migration region</w:t>
      </w:r>
      <w:r w:rsidRPr="00624952">
        <w:t xml:space="preserve"> </w:t>
      </w:r>
    </w:p>
    <w:p w14:paraId="5C5E14CD" w14:textId="77777777" w:rsidR="0025765B" w:rsidRDefault="0025765B" w:rsidP="00EA7AD4"/>
    <w:p w14:paraId="2050D723" w14:textId="6B5D43CC" w:rsidR="00BB7423" w:rsidRPr="00624952" w:rsidRDefault="00DF13C8" w:rsidP="00EA7AD4">
      <w:r w:rsidRPr="00624952">
        <w:t xml:space="preserve">We first </w:t>
      </w:r>
      <w:r w:rsidRPr="00AA43B9">
        <w:t>create</w:t>
      </w:r>
      <w:r w:rsidR="00306DF8">
        <w:t>d</w:t>
      </w:r>
      <w:r w:rsidRPr="00624952">
        <w:t xml:space="preserve"> a mask</w:t>
      </w:r>
      <w:r w:rsidRPr="00AA43B9">
        <w:t xml:space="preserve"> </w:t>
      </w:r>
      <w:r w:rsidR="00306DF8">
        <w:t>corresponding to the</w:t>
      </w:r>
      <w:r w:rsidRPr="00624952">
        <w:t xml:space="preserve"> area covered by cells using standard deviation filtering and applying a series of morphological operations in </w:t>
      </w:r>
      <w:hyperlink r:id="rId11" w:history="1">
        <w:proofErr w:type="spellStart"/>
        <w:r w:rsidRPr="004B6F97">
          <w:rPr>
            <w:rStyle w:val="Hyperlink"/>
          </w:rPr>
          <w:t>Mat</w:t>
        </w:r>
        <w:r w:rsidRPr="004B6F97">
          <w:rPr>
            <w:rStyle w:val="Hyperlink"/>
          </w:rPr>
          <w:t>l</w:t>
        </w:r>
        <w:r w:rsidRPr="004B6F97">
          <w:rPr>
            <w:rStyle w:val="Hyperlink"/>
          </w:rPr>
          <w:t>ab</w:t>
        </w:r>
        <w:proofErr w:type="spellEnd"/>
      </w:hyperlink>
      <w:r w:rsidR="004642CB">
        <w:t xml:space="preserve"> R2016a</w:t>
      </w:r>
      <w:r w:rsidR="000A41E2" w:rsidRPr="00624952">
        <w:t xml:space="preserve"> </w:t>
      </w:r>
      <w:r w:rsidR="00E02734" w:rsidRPr="00624952">
        <w:t>(Math</w:t>
      </w:r>
      <w:r w:rsidR="004642CB">
        <w:t>W</w:t>
      </w:r>
      <w:r w:rsidR="00E02734" w:rsidRPr="00624952">
        <w:t>orks)</w:t>
      </w:r>
      <w:r w:rsidR="00355E1E" w:rsidRPr="00624952">
        <w:t xml:space="preserve"> </w:t>
      </w:r>
      <w:r w:rsidR="000A41E2" w:rsidRPr="00624952">
        <w:t xml:space="preserve">as shown in </w:t>
      </w:r>
      <w:r w:rsidR="004B6F97">
        <w:t>F</w:t>
      </w:r>
      <w:r w:rsidR="000A41E2" w:rsidRPr="00624952">
        <w:t>igure 1</w:t>
      </w:r>
      <w:r w:rsidR="00D07A59">
        <w:t>.</w:t>
      </w:r>
    </w:p>
    <w:p w14:paraId="585A2B50" w14:textId="77777777" w:rsidR="00407867" w:rsidRDefault="00407867" w:rsidP="00EA7AD4"/>
    <w:p w14:paraId="163C6E7D" w14:textId="13F08355" w:rsidR="000A41E2" w:rsidRDefault="004B6F97" w:rsidP="00E84349">
      <w:pPr>
        <w:jc w:val="center"/>
      </w:pPr>
      <w:r>
        <w:t>&lt;</w:t>
      </w:r>
      <w:r w:rsidRPr="00E84349">
        <w:rPr>
          <w:highlight w:val="yellow"/>
        </w:rPr>
        <w:t>Insert Figure 1</w:t>
      </w:r>
      <w:r>
        <w:t>&gt;</w:t>
      </w:r>
    </w:p>
    <w:p w14:paraId="27675D65" w14:textId="77777777" w:rsidR="00407867" w:rsidRPr="00624952" w:rsidRDefault="00407867" w:rsidP="00EA7AD4"/>
    <w:p w14:paraId="4376B712" w14:textId="0CEB09C1" w:rsidR="009C6ADE" w:rsidRDefault="009C6ADE" w:rsidP="00EA7AD4">
      <w:r>
        <w:t xml:space="preserve">Note that these images are </w:t>
      </w:r>
      <w:r w:rsidR="00217734">
        <w:t>gray scale</w:t>
      </w:r>
      <w:r>
        <w:t xml:space="preserve"> (green is used throughout to highlight software outputs</w:t>
      </w:r>
      <w:r w:rsidR="00217734">
        <w:t xml:space="preserve"> as is shown in the right panel of </w:t>
      </w:r>
      <w:r w:rsidR="004B6F97">
        <w:t>F</w:t>
      </w:r>
      <w:r w:rsidR="00217734">
        <w:t>igure 1</w:t>
      </w:r>
      <w:r>
        <w:t xml:space="preserve">), hence every pixel’s value belongs to the interval </w:t>
      </w:r>
      <w:r w:rsidRPr="00624952">
        <w:t xml:space="preserve">[0,1] where a </w:t>
      </w:r>
      <w:r>
        <w:t xml:space="preserve">completely </w:t>
      </w:r>
      <w:r w:rsidRPr="00624952">
        <w:t xml:space="preserve">black pixel has value 0 and a </w:t>
      </w:r>
      <w:r>
        <w:t xml:space="preserve">completely </w:t>
      </w:r>
      <w:r w:rsidRPr="00624952">
        <w:t xml:space="preserve">white </w:t>
      </w:r>
      <w:r>
        <w:t>pixel</w:t>
      </w:r>
      <w:r w:rsidRPr="00624952">
        <w:t xml:space="preserve"> has value 1</w:t>
      </w:r>
      <w:r>
        <w:t xml:space="preserve">. </w:t>
      </w:r>
      <w:r w:rsidR="00A1558D">
        <w:t xml:space="preserve"> Also note that a mask is a binary matrix that indicate which pixels belong to the mask (with value of 1</w:t>
      </w:r>
      <w:r w:rsidR="00B37C74">
        <w:t xml:space="preserve">, these pixels are referred to as </w:t>
      </w:r>
      <w:r w:rsidR="00BB7423">
        <w:t>“</w:t>
      </w:r>
      <w:r w:rsidR="00BE5BB0">
        <w:t>cell pixels</w:t>
      </w:r>
      <w:r w:rsidR="00BB7423">
        <w:t>”</w:t>
      </w:r>
      <w:r w:rsidR="00A1558D">
        <w:t>) and which pixels do not belong to the mask (with value 0).</w:t>
      </w:r>
    </w:p>
    <w:p w14:paraId="3C59FD0A" w14:textId="77777777" w:rsidR="009C6ADE" w:rsidRDefault="009C6ADE" w:rsidP="00EA7AD4"/>
    <w:p w14:paraId="634D37C1" w14:textId="77777777" w:rsidR="006357EE" w:rsidRPr="00624952" w:rsidRDefault="00DF13C8" w:rsidP="00EA7AD4">
      <w:r w:rsidRPr="00624952">
        <w:t xml:space="preserve">We then </w:t>
      </w:r>
      <w:r w:rsidRPr="00AA43B9">
        <w:t>use</w:t>
      </w:r>
      <w:r w:rsidR="00306DF8">
        <w:t>d</w:t>
      </w:r>
      <w:r w:rsidRPr="00624952">
        <w:t xml:space="preserve"> a genetic algorithm to deter</w:t>
      </w:r>
      <w:r w:rsidR="00004A8B" w:rsidRPr="00624952">
        <w:t xml:space="preserve">mine </w:t>
      </w:r>
      <w:r w:rsidR="00CA5F71">
        <w:t>the coordinates of the center and the radius of a circle according</w:t>
      </w:r>
      <w:r w:rsidR="00BE74B3" w:rsidRPr="00624952">
        <w:t xml:space="preserve"> to equation </w:t>
      </w:r>
      <w:r w:rsidR="00004A8B" w:rsidRPr="00624952">
        <w:t>(</w:t>
      </w:r>
      <w:r w:rsidR="00BE74B3" w:rsidRPr="00624952">
        <w:t>1</w:t>
      </w:r>
      <w:r w:rsidR="00004A8B" w:rsidRPr="00624952">
        <w:t>)</w:t>
      </w:r>
      <w:r w:rsidRPr="00624952">
        <w:t xml:space="preserve">. This optimal circle </w:t>
      </w:r>
      <w:r w:rsidR="00CA5F71">
        <w:t>determines</w:t>
      </w:r>
      <w:r w:rsidRPr="00624952">
        <w:t xml:space="preserve"> the migration region</w:t>
      </w:r>
      <w:r w:rsidR="00CA5F71">
        <w:t>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5"/>
        <w:gridCol w:w="8050"/>
        <w:gridCol w:w="655"/>
      </w:tblGrid>
      <w:tr w:rsidR="006357EE" w:rsidRPr="00624952" w14:paraId="77EDF4B7" w14:textId="77777777" w:rsidTr="00EA7AD4">
        <w:tc>
          <w:tcPr>
            <w:tcW w:w="350" w:type="pct"/>
            <w:vAlign w:val="center"/>
          </w:tcPr>
          <w:p w14:paraId="2460E020" w14:textId="77777777" w:rsidR="006357EE" w:rsidRPr="00624952" w:rsidRDefault="006357EE" w:rsidP="00EA7AD4"/>
        </w:tc>
        <w:tc>
          <w:tcPr>
            <w:tcW w:w="4300" w:type="pct"/>
            <w:vAlign w:val="center"/>
          </w:tcPr>
          <w:p w14:paraId="3382EC84" w14:textId="77777777" w:rsidR="006357EE" w:rsidRPr="00624952" w:rsidRDefault="005E55F3" w:rsidP="00EA7AD4">
            <w:pPr>
              <w:rPr>
                <w:rFonts w:eastAsiaTheme="minorEastAsia"/>
                <w:color w:val="333333"/>
                <w:sz w:val="21"/>
                <w:szCs w:val="21"/>
                <w:shd w:val="clear" w:color="auto" w:fill="FFFFFF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</w:rPr>
                  <m:t>[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,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]=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argmax</m:t>
                        </m:r>
                      </m:e>
                      <m:li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,r</m:t>
                        </m:r>
                      </m:lim>
                    </m:limLow>
                  </m:fName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i,j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∈ 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M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i,j</m:t>
                            </m:r>
                          </m:sub>
                        </m:sSub>
                      </m:e>
                    </m:nary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#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M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nary>
                          <m:naryPr>
                            <m:chr m:val="∑"/>
                            <m:limLoc m:val="undOvr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i,j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 ∈ 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b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i,j</m:t>
                                </m:r>
                              </m:sub>
                            </m:sSub>
                          </m:e>
                        </m:nary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,</m:t>
                </m:r>
              </m:oMath>
            </m:oMathPara>
          </w:p>
        </w:tc>
        <w:tc>
          <w:tcPr>
            <w:tcW w:w="350" w:type="pct"/>
            <w:vAlign w:val="center"/>
          </w:tcPr>
          <w:p w14:paraId="40B842F8" w14:textId="77777777" w:rsidR="006357EE" w:rsidRPr="00624952" w:rsidRDefault="006357EE" w:rsidP="00EA7AD4">
            <w:pPr>
              <w:jc w:val="right"/>
              <w:rPr>
                <w:rFonts w:ascii="Cambria Math" w:hAnsi="Cambria Math"/>
              </w:rPr>
            </w:pPr>
            <w:r w:rsidRPr="00624952">
              <w:rPr>
                <w:rFonts w:ascii="Cambria Math" w:hAnsi="Cambria Math"/>
              </w:rPr>
              <w:t>(</w:t>
            </w:r>
            <w:r w:rsidR="00532C23" w:rsidRPr="00624952">
              <w:rPr>
                <w:rFonts w:ascii="Cambria Math" w:hAnsi="Cambria Math"/>
              </w:rPr>
              <w:fldChar w:fldCharType="begin"/>
            </w:r>
            <w:r w:rsidRPr="00624952">
              <w:rPr>
                <w:rFonts w:ascii="Cambria Math" w:hAnsi="Cambria Math"/>
              </w:rPr>
              <w:instrText xml:space="preserve"> SEQ Equation \* ARABIC </w:instrText>
            </w:r>
            <w:r w:rsidR="00532C23" w:rsidRPr="00624952">
              <w:rPr>
                <w:rFonts w:ascii="Cambria Math" w:hAnsi="Cambria Math"/>
              </w:rPr>
              <w:fldChar w:fldCharType="separate"/>
            </w:r>
            <w:r w:rsidR="008E1B3B">
              <w:rPr>
                <w:rFonts w:ascii="Cambria Math" w:hAnsi="Cambria Math"/>
                <w:noProof/>
              </w:rPr>
              <w:t>1</w:t>
            </w:r>
            <w:r w:rsidR="00532C23" w:rsidRPr="00624952">
              <w:rPr>
                <w:rFonts w:ascii="Cambria Math" w:hAnsi="Cambria Math"/>
              </w:rPr>
              <w:fldChar w:fldCharType="end"/>
            </w:r>
            <w:r w:rsidRPr="00624952">
              <w:rPr>
                <w:rFonts w:ascii="Cambria Math" w:hAnsi="Cambria Math"/>
              </w:rPr>
              <w:t>)</w:t>
            </w:r>
          </w:p>
        </w:tc>
      </w:tr>
    </w:tbl>
    <w:p w14:paraId="7ED1FB66" w14:textId="77777777" w:rsidR="006357EE" w:rsidRPr="00624952" w:rsidRDefault="00D5618C" w:rsidP="00EA7AD4">
      <w:r w:rsidRPr="00624952">
        <w:t xml:space="preserve">where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r>
          <w:rPr>
            <w:rFonts w:ascii="Cambria Math" w:eastAsiaTheme="minorEastAsia" w:hAnsi="Cambria Math"/>
          </w:rPr>
          <m:t>,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r>
          <w:rPr>
            <w:rFonts w:ascii="Cambria Math" w:eastAsiaTheme="minorEastAsia" w:hAnsi="Cambria Math"/>
          </w:rPr>
          <m:t>,</m:t>
        </m:r>
      </m:oMath>
      <w:r w:rsidR="00CA5F71">
        <w:rPr>
          <w:rFonts w:eastAsiaTheme="minorEastAsia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CA5F71">
        <w:rPr>
          <w:rFonts w:eastAsiaTheme="minorEastAsia"/>
        </w:rPr>
        <w:t xml:space="preserve"> are the </w:t>
      </w:r>
      <w:r w:rsidR="00A1558D">
        <w:t>optimal parameters</w:t>
      </w:r>
      <w:r w:rsidR="00CA5F71">
        <w:t xml:space="preserve"> of the migration region</w:t>
      </w:r>
      <w:r w:rsidR="001C091A">
        <w:t xml:space="preserve">, </w:t>
      </w:r>
      <m:oMath>
        <m:r>
          <m:rPr>
            <m:sty m:val="bi"/>
          </m:rPr>
          <w:rPr>
            <w:rFonts w:ascii="Cambria Math" w:hAnsi="Cambria Math"/>
          </w:rPr>
          <m:t>M</m:t>
        </m:r>
      </m:oMath>
      <w:r w:rsidR="003A5D40" w:rsidRPr="00624952">
        <w:t xml:space="preserve"> is the Matlab mask we are evaluating</w:t>
      </w:r>
      <w:r w:rsidR="005E55F3">
        <w:t xml:space="preserve"> (i.e., a circle with center at coordinates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5E55F3">
        <w:rPr>
          <w:rFonts w:eastAsiaTheme="minorEastAsia"/>
        </w:rPr>
        <w:t xml:space="preserve"> </w:t>
      </w:r>
      <w:r w:rsidR="00CA5F71">
        <w:rPr>
          <w:rFonts w:eastAsiaTheme="minorEastAsia"/>
        </w:rPr>
        <w:t>and radius</w:t>
      </w:r>
      <w:r w:rsidR="005E55F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r</m:t>
        </m:r>
      </m:oMath>
      <w:r w:rsidR="006B7582">
        <w:rPr>
          <w:rFonts w:eastAsiaTheme="minorEastAsia"/>
        </w:rPr>
        <w:t>),</w:t>
      </w:r>
      <w:r w:rsidR="001C091A">
        <w:t xml:space="preserve"> so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i,j</m:t>
                </m:r>
              </m:sub>
            </m:sSub>
            <m:r>
              <w:rPr>
                <w:rFonts w:ascii="Cambria Math" w:hAnsi="Cambria Math"/>
              </w:rPr>
              <m:t xml:space="preserve"> ∈ </m:t>
            </m:r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i,j</m:t>
                </m:r>
              </m:sub>
            </m:sSub>
          </m:e>
        </m:nary>
      </m:oMath>
      <w:r w:rsidR="006B7582">
        <w:rPr>
          <w:rFonts w:eastAsiaTheme="minorEastAsia"/>
        </w:rPr>
        <w:t xml:space="preserve"> is the </w:t>
      </w:r>
      <w:r w:rsidR="006B7582">
        <w:rPr>
          <w:rFonts w:eastAsiaTheme="minorEastAsia"/>
        </w:rPr>
        <w:lastRenderedPageBreak/>
        <w:t>sum of all the pixel</w:t>
      </w:r>
      <w:r w:rsidR="005E55F3">
        <w:rPr>
          <w:rFonts w:eastAsiaTheme="minorEastAsia"/>
        </w:rPr>
        <w:t xml:space="preserve"> intens</w:t>
      </w:r>
      <w:r w:rsidR="006B7582">
        <w:rPr>
          <w:rFonts w:eastAsiaTheme="minorEastAsia"/>
        </w:rPr>
        <w:t>ities</w:t>
      </w:r>
      <w:r w:rsidR="00C53105">
        <w:rPr>
          <w:rFonts w:eastAsiaTheme="minorEastAsia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 w:rsidR="00C53105">
        <w:rPr>
          <w:rFonts w:eastAsiaTheme="minorEastAsia"/>
        </w:rPr>
        <w:t>)</w:t>
      </w:r>
      <w:r w:rsidR="006B7582">
        <w:rPr>
          <w:rFonts w:eastAsiaTheme="minorEastAsia"/>
        </w:rPr>
        <w:t xml:space="preserve"> which belong to the mask</w:t>
      </w:r>
      <w:r w:rsidR="00C53105">
        <w:rPr>
          <w:rFonts w:eastAsiaTheme="minorEastAsia"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M</m:t>
        </m:r>
      </m:oMath>
      <w:r w:rsidR="006B7582">
        <w:rPr>
          <w:rFonts w:eastAsiaTheme="minorEastAsia"/>
        </w:rPr>
        <w:t xml:space="preserve">, </w:t>
      </w:r>
      <m:oMath>
        <m:r>
          <m:rPr>
            <m:sty m:val="p"/>
          </m:rPr>
          <w:rPr>
            <w:rFonts w:ascii="Cambria Math" w:hAnsi="Cambria Math"/>
          </w:rPr>
          <m:t>#</m:t>
        </m:r>
        <m:r>
          <m:rPr>
            <m:sty m:val="bi"/>
          </m:rPr>
          <w:rPr>
            <w:rFonts w:ascii="Cambria Math" w:hAnsi="Cambria Math"/>
          </w:rPr>
          <m:t>M</m:t>
        </m:r>
      </m:oMath>
      <w:r w:rsidR="006B7582">
        <w:rPr>
          <w:rFonts w:eastAsiaTheme="minorEastAsia"/>
          <w:b/>
        </w:rPr>
        <w:t xml:space="preserve"> </w:t>
      </w:r>
      <w:r w:rsidR="006B7582" w:rsidRPr="006B7582">
        <w:rPr>
          <w:rFonts w:eastAsiaTheme="minorEastAsia"/>
        </w:rPr>
        <w:t>is th</w:t>
      </w:r>
      <w:r w:rsidR="006B7582">
        <w:t xml:space="preserve">e cardinality of </w:t>
      </w:r>
      <m:oMath>
        <m:r>
          <m:rPr>
            <m:sty m:val="bi"/>
          </m:rPr>
          <w:rPr>
            <w:rFonts w:ascii="Cambria Math" w:hAnsi="Cambria Math"/>
          </w:rPr>
          <m:t>M</m:t>
        </m:r>
      </m:oMath>
      <w:r w:rsidR="006B7582">
        <w:rPr>
          <w:rFonts w:eastAsiaTheme="minorEastAsia"/>
          <w:b/>
        </w:rPr>
        <w:t xml:space="preserve"> </w:t>
      </w:r>
      <w:r w:rsidR="006B7582" w:rsidRPr="006B7582">
        <w:rPr>
          <w:rFonts w:eastAsiaTheme="minorEastAsia"/>
        </w:rPr>
        <w:t>(</w:t>
      </w:r>
      <w:r w:rsidR="006B7582">
        <w:rPr>
          <w:rFonts w:eastAsiaTheme="minorEastAsia"/>
        </w:rPr>
        <w:t xml:space="preserve">i.e., the number of </w:t>
      </w:r>
      <w:r w:rsidR="00D07A59">
        <w:rPr>
          <w:rFonts w:eastAsiaTheme="minorEastAsia"/>
        </w:rPr>
        <w:t xml:space="preserve">pixels </w:t>
      </w:r>
      <w:r w:rsidR="006321C0">
        <w:rPr>
          <w:rFonts w:eastAsiaTheme="minorEastAsia"/>
        </w:rPr>
        <w:t>which belong</w:t>
      </w:r>
      <w:r w:rsidR="006320AD">
        <w:rPr>
          <w:rFonts w:eastAsiaTheme="minorEastAsia"/>
        </w:rPr>
        <w:t xml:space="preserve"> to</w:t>
      </w:r>
      <w:r w:rsidR="006B7582">
        <w:rPr>
          <w:rFonts w:eastAsiaTheme="minorEastAsia"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M</m:t>
        </m:r>
      </m:oMath>
      <w:r w:rsidR="006B7582" w:rsidRPr="006B7582">
        <w:rPr>
          <w:rFonts w:eastAsiaTheme="minorEastAsia"/>
        </w:rPr>
        <w:t>)</w:t>
      </w:r>
      <w:r w:rsidR="006B7582">
        <w:rPr>
          <w:rFonts w:eastAsiaTheme="minorEastAsia"/>
        </w:rPr>
        <w:t>,</w:t>
      </w:r>
      <w:r w:rsidR="00227B7B" w:rsidRPr="00624952">
        <w:t xml:space="preserve"> and </w:t>
      </w:r>
      <m:oMath>
        <m:r>
          <w:rPr>
            <w:rFonts w:ascii="Cambria Math" w:hAnsi="Cambria Math"/>
          </w:rPr>
          <m:t>p</m:t>
        </m:r>
      </m:oMath>
      <w:r w:rsidR="00AA43B9" w:rsidRPr="00624952">
        <w:t xml:space="preserve"> is a penalty parameter</w:t>
      </w:r>
      <w:r w:rsidR="007777D0" w:rsidRPr="00624952">
        <w:t xml:space="preserve">. </w:t>
      </w:r>
      <w:r w:rsidR="00BC60C1" w:rsidRPr="00624952">
        <w:t xml:space="preserve">If </w:t>
      </w:r>
      <m:oMath>
        <m:r>
          <w:rPr>
            <w:rFonts w:ascii="Cambria Math" w:hAnsi="Cambria Math"/>
          </w:rPr>
          <m:t>p=1</m:t>
        </m:r>
      </m:oMath>
      <w:r w:rsidR="00DC19F4" w:rsidRPr="00624952">
        <w:t>, we have: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5"/>
        <w:gridCol w:w="8050"/>
        <w:gridCol w:w="655"/>
      </w:tblGrid>
      <w:tr w:rsidR="006357EE" w:rsidRPr="00624952" w14:paraId="1B0E23DF" w14:textId="77777777" w:rsidTr="00EA7AD4">
        <w:tc>
          <w:tcPr>
            <w:tcW w:w="350" w:type="pct"/>
            <w:vAlign w:val="center"/>
          </w:tcPr>
          <w:p w14:paraId="58A6800C" w14:textId="77777777" w:rsidR="006357EE" w:rsidRPr="00624952" w:rsidRDefault="006357EE" w:rsidP="00EA7AD4"/>
        </w:tc>
        <w:tc>
          <w:tcPr>
            <w:tcW w:w="4300" w:type="pct"/>
            <w:vAlign w:val="center"/>
          </w:tcPr>
          <w:p w14:paraId="068B4047" w14:textId="77777777" w:rsidR="006357EE" w:rsidRPr="00624952" w:rsidRDefault="006B7582" w:rsidP="00EA7AD4">
            <m:oMathPara>
              <m:oMath>
                <m:r>
                  <w:rPr>
                    <w:rFonts w:ascii="Cambria Math" w:eastAsiaTheme="minorEastAsia" w:hAnsi="Cambria Math"/>
                  </w:rPr>
                  <m:t>[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,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]=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argmin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</w:rPr>
                      <m:t>#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-2</m:t>
                    </m:r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i,j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∈ 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M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i,j</m:t>
                            </m:r>
                          </m:sub>
                        </m:sSub>
                      </m:e>
                    </m:nary>
                  </m:e>
                </m:func>
              </m:oMath>
            </m:oMathPara>
          </w:p>
        </w:tc>
        <w:tc>
          <w:tcPr>
            <w:tcW w:w="350" w:type="pct"/>
            <w:vAlign w:val="center"/>
          </w:tcPr>
          <w:p w14:paraId="272D9732" w14:textId="77777777" w:rsidR="006357EE" w:rsidRPr="00624952" w:rsidRDefault="006357EE" w:rsidP="00EA7AD4">
            <w:pPr>
              <w:jc w:val="right"/>
              <w:rPr>
                <w:rFonts w:ascii="Cambria Math" w:hAnsi="Cambria Math"/>
              </w:rPr>
            </w:pPr>
            <w:r w:rsidRPr="00624952">
              <w:rPr>
                <w:rFonts w:ascii="Cambria Math" w:hAnsi="Cambria Math"/>
              </w:rPr>
              <w:t>(</w:t>
            </w:r>
            <w:r w:rsidR="00532C23" w:rsidRPr="00624952">
              <w:rPr>
                <w:rFonts w:ascii="Cambria Math" w:hAnsi="Cambria Math"/>
              </w:rPr>
              <w:fldChar w:fldCharType="begin"/>
            </w:r>
            <w:r w:rsidRPr="00624952">
              <w:rPr>
                <w:rFonts w:ascii="Cambria Math" w:hAnsi="Cambria Math"/>
              </w:rPr>
              <w:instrText xml:space="preserve"> SEQ Equation \* ARABIC </w:instrText>
            </w:r>
            <w:r w:rsidR="00532C23" w:rsidRPr="00624952">
              <w:rPr>
                <w:rFonts w:ascii="Cambria Math" w:hAnsi="Cambria Math"/>
              </w:rPr>
              <w:fldChar w:fldCharType="separate"/>
            </w:r>
            <w:r w:rsidR="008E1B3B">
              <w:rPr>
                <w:rFonts w:ascii="Cambria Math" w:hAnsi="Cambria Math"/>
                <w:noProof/>
              </w:rPr>
              <w:t>2</w:t>
            </w:r>
            <w:r w:rsidR="00532C23" w:rsidRPr="00624952">
              <w:rPr>
                <w:rFonts w:ascii="Cambria Math" w:hAnsi="Cambria Math"/>
              </w:rPr>
              <w:fldChar w:fldCharType="end"/>
            </w:r>
            <w:r w:rsidRPr="00624952">
              <w:rPr>
                <w:rFonts w:ascii="Cambria Math" w:hAnsi="Cambria Math"/>
              </w:rPr>
              <w:t>)</w:t>
            </w:r>
          </w:p>
        </w:tc>
      </w:tr>
    </w:tbl>
    <w:p w14:paraId="0882D92A" w14:textId="2FE1FB98" w:rsidR="00407867" w:rsidRDefault="007777D0" w:rsidP="00EA7AD4">
      <w:r w:rsidRPr="00624952">
        <w:t>Hence, the maximization problem from equation (1) is equivalent to the minimization represented in equation (2)</w:t>
      </w:r>
      <w:r w:rsidR="00004A8B" w:rsidRPr="00624952">
        <w:t xml:space="preserve"> (</w:t>
      </w:r>
      <w:r w:rsidR="00234FEE" w:rsidRPr="00624952">
        <w:t>when</w:t>
      </w:r>
      <w:r w:rsidR="00004A8B" w:rsidRPr="00624952">
        <w:t xml:space="preserve"> </w:t>
      </w:r>
      <m:oMath>
        <m:r>
          <w:rPr>
            <w:rFonts w:ascii="Cambria Math" w:hAnsi="Cambria Math"/>
          </w:rPr>
          <m:t>p=1</m:t>
        </m:r>
      </m:oMath>
      <w:r w:rsidR="00004A8B" w:rsidRPr="00624952">
        <w:t>)</w:t>
      </w:r>
      <w:r w:rsidRPr="00624952">
        <w:t xml:space="preserve">. </w:t>
      </w:r>
      <w:r w:rsidR="00AA43B9" w:rsidRPr="00624952">
        <w:t xml:space="preserve">From equation </w:t>
      </w:r>
      <w:r w:rsidR="0059071A" w:rsidRPr="00624952">
        <w:t>(</w:t>
      </w:r>
      <w:r w:rsidR="00AA43B9" w:rsidRPr="00624952">
        <w:t>2</w:t>
      </w:r>
      <w:r w:rsidR="0059071A" w:rsidRPr="00624952">
        <w:t>)</w:t>
      </w:r>
      <w:r w:rsidR="00AA43B9" w:rsidRPr="00624952">
        <w:t xml:space="preserve">, we </w:t>
      </w:r>
      <w:r w:rsidRPr="00624952">
        <w:t xml:space="preserve">can interpret the optimization performed by the genetic algorithm </w:t>
      </w:r>
      <w:r w:rsidR="007A3552" w:rsidRPr="00624952">
        <w:t xml:space="preserve">as finding </w:t>
      </w:r>
      <w:r w:rsidR="00004A8B" w:rsidRPr="00624952">
        <w:t xml:space="preserve">“the largest circle which contains the least number of </w:t>
      </w:r>
      <w:r w:rsidR="00B37C74">
        <w:t xml:space="preserve">cell </w:t>
      </w:r>
      <w:r w:rsidR="00D80518">
        <w:t>pixels</w:t>
      </w:r>
      <w:r w:rsidR="00004A8B" w:rsidRPr="00624952">
        <w:t xml:space="preserve">.” </w:t>
      </w:r>
      <w:r w:rsidR="00180A5F" w:rsidRPr="00624952">
        <w:t xml:space="preserve">Figure 2 shows the optimal circular region selected by the genetic algorithm when the input is the image from </w:t>
      </w:r>
      <w:r w:rsidR="004B6F97">
        <w:t>F</w:t>
      </w:r>
      <w:r w:rsidR="00180A5F" w:rsidRPr="00624952">
        <w:t>igure 1.</w:t>
      </w:r>
    </w:p>
    <w:p w14:paraId="1ED1C7BF" w14:textId="77777777" w:rsidR="004B6F97" w:rsidRDefault="004B6F97" w:rsidP="00EA7AD4"/>
    <w:p w14:paraId="70E8B9A8" w14:textId="0B7DBED4" w:rsidR="00407867" w:rsidRPr="00624952" w:rsidRDefault="004B6F97" w:rsidP="00E84349">
      <w:pPr>
        <w:jc w:val="center"/>
      </w:pPr>
      <w:r>
        <w:t>&lt;</w:t>
      </w:r>
      <w:r w:rsidRPr="00E84349">
        <w:rPr>
          <w:highlight w:val="yellow"/>
        </w:rPr>
        <w:t>Insert Figure 2</w:t>
      </w:r>
      <w:r>
        <w:t>&gt;</w:t>
      </w:r>
    </w:p>
    <w:p w14:paraId="2B2768FB" w14:textId="77777777" w:rsidR="006B7582" w:rsidRDefault="006B7582" w:rsidP="00EA7AD4">
      <w:pPr>
        <w:rPr>
          <w:b/>
        </w:rPr>
      </w:pPr>
    </w:p>
    <w:p w14:paraId="21F31DE8" w14:textId="720E7EDD" w:rsidR="00DF13C8" w:rsidRPr="00624952" w:rsidRDefault="00DF13C8" w:rsidP="00EA7AD4">
      <w:r w:rsidRPr="00624952">
        <w:rPr>
          <w:b/>
        </w:rPr>
        <w:t>Percent of migration region covered by cells:</w:t>
      </w:r>
      <w:r w:rsidRPr="00624952">
        <w:t xml:space="preserve"> We define</w:t>
      </w:r>
      <w:r w:rsidR="00E26081">
        <w:t>d</w:t>
      </w:r>
      <w:r w:rsidRPr="00624952">
        <w:t xml:space="preserve"> a metric to quantify the migration of MDA-MB-231 cells. </w:t>
      </w:r>
      <w:r w:rsidR="00E26081">
        <w:t>This metric is</w:t>
      </w:r>
      <w:r w:rsidR="00004A8B" w:rsidRPr="00624952">
        <w:t xml:space="preserve"> </w:t>
      </w:r>
      <m:oMath>
        <m:r>
          <w:rPr>
            <w:rFonts w:ascii="Cambria Math" w:hAnsi="Cambria Math"/>
          </w:rPr>
          <m:t>Q</m:t>
        </m:r>
      </m:oMath>
      <w:r w:rsidR="00004A8B" w:rsidRPr="00624952">
        <w:t>,</w:t>
      </w:r>
      <w:r w:rsidR="00264517">
        <w:t xml:space="preserve"> </w:t>
      </w:r>
      <w:r w:rsidRPr="00624952">
        <w:t xml:space="preserve">the percentage of </w:t>
      </w:r>
      <w:r w:rsidR="00264517">
        <w:t>migr</w:t>
      </w:r>
      <w:r w:rsidR="001377BE">
        <w:t>ation</w:t>
      </w:r>
      <w:r w:rsidRPr="00624952">
        <w:t xml:space="preserve"> pixels inside the migration region. We define a </w:t>
      </w:r>
      <w:r w:rsidR="00264517">
        <w:t>migration</w:t>
      </w:r>
      <w:r w:rsidR="00264517" w:rsidRPr="00624952">
        <w:t xml:space="preserve"> </w:t>
      </w:r>
      <w:r w:rsidRPr="00624952">
        <w:t>pixel as any pixel whose intensity value is</w:t>
      </w:r>
      <w:r w:rsidR="00611E3F" w:rsidRPr="00624952">
        <w:t xml:space="preserve"> greater </w:t>
      </w:r>
      <w:r w:rsidR="00364711" w:rsidRPr="00624952">
        <w:t xml:space="preserve">than </w:t>
      </w:r>
      <w:r w:rsidR="00611E3F" w:rsidRPr="00624952">
        <w:t xml:space="preserve">or equal to a threshold </w:t>
      </w:r>
      <m:oMath>
        <m:r>
          <w:rPr>
            <w:rFonts w:ascii="Cambria Math" w:hAnsi="Cambria Math"/>
          </w:rPr>
          <m:t>T</m:t>
        </m:r>
      </m:oMath>
      <w:r w:rsidR="00264517">
        <w:rPr>
          <w:rFonts w:eastAsiaTheme="minorEastAsia"/>
        </w:rPr>
        <w:t xml:space="preserve">. We chose </w:t>
      </w:r>
      <m:oMath>
        <m:r>
          <w:rPr>
            <w:rFonts w:ascii="Cambria Math" w:hAnsi="Cambria Math"/>
          </w:rPr>
          <m:t>T</m:t>
        </m:r>
      </m:oMath>
      <w:r w:rsidR="00611E3F" w:rsidRPr="00624952">
        <w:rPr>
          <w:rFonts w:eastAsiaTheme="minorEastAsia"/>
        </w:rPr>
        <w:t xml:space="preserve"> </w:t>
      </w:r>
      <w:r w:rsidR="00264517">
        <w:rPr>
          <w:rFonts w:eastAsiaTheme="minorEastAsia"/>
        </w:rPr>
        <w:t>equal to</w:t>
      </w:r>
      <w:r w:rsidRPr="00624952">
        <w:t xml:space="preserve"> </w:t>
      </w:r>
      <w:r w:rsidR="00611E3F" w:rsidRPr="00624952">
        <w:t xml:space="preserve">1.25 times the </w:t>
      </w:r>
      <w:r w:rsidRPr="00624952">
        <w:t>median pixel intensity of the migration region immediately after the stopper was removed</w:t>
      </w:r>
      <w:r w:rsidR="007743FD" w:rsidRPr="00624952">
        <w:t xml:space="preserve"> (i.e., the green region in </w:t>
      </w:r>
      <w:r w:rsidR="004B6F97">
        <w:t>F</w:t>
      </w:r>
      <w:r w:rsidR="007743FD" w:rsidRPr="00624952">
        <w:t>igure 2)</w:t>
      </w:r>
      <w:r w:rsidRPr="00624952">
        <w:t>.</w:t>
      </w:r>
      <w:r w:rsidR="008C3809" w:rsidRPr="00624952">
        <w:t xml:space="preserve"> This is: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5"/>
        <w:gridCol w:w="8050"/>
        <w:gridCol w:w="655"/>
      </w:tblGrid>
      <w:tr w:rsidR="006357EE" w:rsidRPr="00624952" w14:paraId="38525380" w14:textId="77777777" w:rsidTr="00EA7AD4">
        <w:tc>
          <w:tcPr>
            <w:tcW w:w="350" w:type="pct"/>
            <w:vAlign w:val="center"/>
          </w:tcPr>
          <w:p w14:paraId="06CF1404" w14:textId="77777777" w:rsidR="006357EE" w:rsidRPr="00624952" w:rsidRDefault="006357EE" w:rsidP="00EA7AD4"/>
        </w:tc>
        <w:tc>
          <w:tcPr>
            <w:tcW w:w="4300" w:type="pct"/>
            <w:vAlign w:val="center"/>
          </w:tcPr>
          <w:p w14:paraId="513FA2E9" w14:textId="77777777" w:rsidR="006357EE" w:rsidRPr="00264517" w:rsidRDefault="006357EE" w:rsidP="00EA7AD4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Q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= 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∈ 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{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≥ </m:t>
                        </m:r>
                        <m:r>
                          <w:rPr>
                            <w:rFonts w:ascii="Cambria Math" w:hAnsi="Cambria Math"/>
                          </w:rPr>
                          <m:t>T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}</m:t>
                        </m:r>
                      </m:sub>
                      <m:sup/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nary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/#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350" w:type="pct"/>
            <w:vAlign w:val="center"/>
          </w:tcPr>
          <w:p w14:paraId="1159AD19" w14:textId="77777777" w:rsidR="006357EE" w:rsidRPr="00624952" w:rsidRDefault="006357EE" w:rsidP="00EA7AD4">
            <w:pPr>
              <w:jc w:val="right"/>
              <w:rPr>
                <w:rFonts w:ascii="Cambria Math" w:hAnsi="Cambria Math"/>
              </w:rPr>
            </w:pPr>
            <w:r w:rsidRPr="00624952">
              <w:rPr>
                <w:rFonts w:ascii="Cambria Math" w:hAnsi="Cambria Math"/>
              </w:rPr>
              <w:t>(</w:t>
            </w:r>
            <w:r w:rsidR="00532C23" w:rsidRPr="00624952">
              <w:rPr>
                <w:rFonts w:ascii="Cambria Math" w:hAnsi="Cambria Math"/>
              </w:rPr>
              <w:fldChar w:fldCharType="begin"/>
            </w:r>
            <w:r w:rsidRPr="00624952">
              <w:rPr>
                <w:rFonts w:ascii="Cambria Math" w:hAnsi="Cambria Math"/>
              </w:rPr>
              <w:instrText xml:space="preserve"> SEQ Equation \* ARABIC </w:instrText>
            </w:r>
            <w:r w:rsidR="00532C23" w:rsidRPr="00624952">
              <w:rPr>
                <w:rFonts w:ascii="Cambria Math" w:hAnsi="Cambria Math"/>
              </w:rPr>
              <w:fldChar w:fldCharType="separate"/>
            </w:r>
            <w:r w:rsidR="008E1B3B">
              <w:rPr>
                <w:rFonts w:ascii="Cambria Math" w:hAnsi="Cambria Math"/>
                <w:noProof/>
              </w:rPr>
              <w:t>3</w:t>
            </w:r>
            <w:r w:rsidR="00532C23" w:rsidRPr="00624952">
              <w:rPr>
                <w:rFonts w:ascii="Cambria Math" w:hAnsi="Cambria Math"/>
              </w:rPr>
              <w:fldChar w:fldCharType="end"/>
            </w:r>
            <w:r w:rsidRPr="00624952">
              <w:rPr>
                <w:rFonts w:ascii="Cambria Math" w:hAnsi="Cambria Math"/>
              </w:rPr>
              <w:t>)</w:t>
            </w:r>
          </w:p>
        </w:tc>
      </w:tr>
    </w:tbl>
    <w:p w14:paraId="495A30EA" w14:textId="77777777" w:rsidR="00611E3F" w:rsidRDefault="00264517" w:rsidP="00EA7AD4">
      <w:pPr>
        <w:rPr>
          <w:rFonts w:eastAsiaTheme="minorEastAsia"/>
        </w:rPr>
      </w:pPr>
      <w:r>
        <w:rPr>
          <w:rFonts w:eastAsiaTheme="minorEastAsia"/>
          <w:color w:val="333333"/>
          <w:sz w:val="21"/>
          <w:szCs w:val="21"/>
          <w:shd w:val="clear" w:color="auto" w:fill="FFFFFF"/>
        </w:rPr>
        <w:t xml:space="preserve">Where </w:t>
      </w: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*</m:t>
            </m:r>
          </m:sup>
        </m:sSup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>is the optimal circle defined by the three parameters</w:t>
      </w:r>
      <w:r w:rsidR="00E26081"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[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r>
          <w:rPr>
            <w:rFonts w:ascii="Cambria Math" w:eastAsiaTheme="minorEastAsia" w:hAnsi="Cambria Math"/>
          </w:rPr>
          <m:t>,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r>
          <w:rPr>
            <w:rFonts w:ascii="Cambria Math" w:eastAsiaTheme="minorEastAsia" w:hAnsi="Cambria Math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>]</m:t>
        </m:r>
      </m:oMath>
      <w:r>
        <w:rPr>
          <w:rFonts w:eastAsiaTheme="minorEastAsia"/>
        </w:rPr>
        <w:t xml:space="preserve"> from equations </w:t>
      </w:r>
      <w:r w:rsidR="00E26081">
        <w:rPr>
          <w:rFonts w:eastAsiaTheme="minorEastAsia"/>
        </w:rPr>
        <w:t xml:space="preserve">(1) and (2)) and the set </w:t>
      </w: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{</m:t>
            </m:r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p>
            <m:r>
              <m:rPr>
                <m:sty m:val="b"/>
              </m:rP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≥ 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}</m:t>
        </m:r>
      </m:oMath>
      <w:r w:rsidR="00E26081">
        <w:rPr>
          <w:rFonts w:eastAsiaTheme="minorEastAsia"/>
        </w:rPr>
        <w:t xml:space="preserve"> includes all of the pixels inside </w:t>
      </w: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*</m:t>
            </m:r>
          </m:sup>
        </m:sSup>
      </m:oMath>
      <w:r w:rsidR="00E26081">
        <w:rPr>
          <w:rFonts w:eastAsiaTheme="minorEastAsia"/>
          <w:b/>
        </w:rPr>
        <w:t xml:space="preserve"> </w:t>
      </w:r>
      <w:r w:rsidR="00E26081" w:rsidRPr="00E26081">
        <w:rPr>
          <w:rFonts w:eastAsiaTheme="minorEastAsia"/>
        </w:rPr>
        <w:t xml:space="preserve">with </w:t>
      </w:r>
      <w:r w:rsidR="00E26081">
        <w:rPr>
          <w:rFonts w:eastAsiaTheme="minorEastAsia"/>
        </w:rPr>
        <w:t xml:space="preserve">intensities higher than </w:t>
      </w:r>
      <m:oMath>
        <m:r>
          <w:rPr>
            <w:rFonts w:ascii="Cambria Math" w:hAnsi="Cambria Math"/>
          </w:rPr>
          <m:t>T</m:t>
        </m:r>
      </m:oMath>
      <w:r w:rsidR="00E26081">
        <w:rPr>
          <w:rFonts w:eastAsiaTheme="minorEastAsia"/>
        </w:rPr>
        <w:t>.</w:t>
      </w:r>
    </w:p>
    <w:p w14:paraId="472165AD" w14:textId="77777777" w:rsidR="00A41E41" w:rsidRDefault="00A41E41" w:rsidP="00EA7AD4">
      <w:pPr>
        <w:rPr>
          <w:rFonts w:eastAsiaTheme="minorEastAsia"/>
        </w:rPr>
      </w:pPr>
    </w:p>
    <w:p w14:paraId="15BDC8DD" w14:textId="77777777" w:rsidR="00A41E41" w:rsidRPr="00DB24EF" w:rsidRDefault="00A41E41" w:rsidP="00A41E41">
      <w:pPr>
        <w:rPr>
          <w:b/>
        </w:rPr>
      </w:pPr>
      <w:r w:rsidRPr="00DB24EF">
        <w:rPr>
          <w:b/>
        </w:rPr>
        <w:t>Preprint</w:t>
      </w:r>
    </w:p>
    <w:p w14:paraId="2CCF74E4" w14:textId="77777777" w:rsidR="00A41E41" w:rsidRDefault="00A41E41" w:rsidP="00A41E41"/>
    <w:p w14:paraId="2DC427EB" w14:textId="77777777" w:rsidR="00A41E41" w:rsidRPr="00AC1C90" w:rsidRDefault="00A41E41" w:rsidP="00A41E41">
      <w:r>
        <w:t xml:space="preserve">A previous version of this manuscript is available from </w:t>
      </w:r>
      <w:proofErr w:type="spellStart"/>
      <w:r>
        <w:t>bioRxiv</w:t>
      </w:r>
      <w:proofErr w:type="spellEnd"/>
      <w:r>
        <w:t xml:space="preserve">:  </w:t>
      </w:r>
      <w:hyperlink r:id="rId12" w:history="1">
        <w:r w:rsidRPr="00807D97">
          <w:rPr>
            <w:rStyle w:val="Hyperlink"/>
          </w:rPr>
          <w:t>https://doi.org/10.1101/130526</w:t>
        </w:r>
      </w:hyperlink>
      <w:r>
        <w:t xml:space="preserve"> </w:t>
      </w:r>
      <w:commentRangeStart w:id="8"/>
      <w:r>
        <w:t>[10]</w:t>
      </w:r>
      <w:commentRangeEnd w:id="8"/>
      <w:r>
        <w:rPr>
          <w:rStyle w:val="CommentReference"/>
        </w:rPr>
        <w:commentReference w:id="8"/>
      </w:r>
    </w:p>
    <w:p w14:paraId="674679DC" w14:textId="77777777" w:rsidR="00A41E41" w:rsidRPr="00264517" w:rsidRDefault="00A41E41" w:rsidP="00EA7AD4"/>
    <w:p w14:paraId="24134B90" w14:textId="77777777" w:rsidR="00264517" w:rsidRDefault="00264517" w:rsidP="00EA7AD4"/>
    <w:p w14:paraId="1346A2E4" w14:textId="77777777" w:rsidR="00DF13C8" w:rsidRPr="00624952" w:rsidRDefault="00B62A72" w:rsidP="00EA7AD4">
      <w:pPr>
        <w:pStyle w:val="Heading1"/>
      </w:pPr>
      <w:r w:rsidRPr="00624952">
        <w:t>Results</w:t>
      </w:r>
      <w:r w:rsidR="00DF13C8" w:rsidRPr="00624952">
        <w:t xml:space="preserve"> and Discussion</w:t>
      </w:r>
    </w:p>
    <w:p w14:paraId="17E3B48F" w14:textId="77777777" w:rsidR="00D555C5" w:rsidRPr="00624952" w:rsidRDefault="00D555C5" w:rsidP="00EA7AD4"/>
    <w:p w14:paraId="1592A07A" w14:textId="13FAF556" w:rsidR="00B27E97" w:rsidRDefault="00DF13C8" w:rsidP="00EA7AD4">
      <w:r w:rsidRPr="00624952">
        <w:t>To test the hypothesis that MDA-MB-231 cells’ migration is reduced in the absence of AGR2, we designed an experiment</w:t>
      </w:r>
      <w:r w:rsidR="00FD5C8B">
        <w:t xml:space="preserve"> (utilizing the cell migration assay described in the Methods section)</w:t>
      </w:r>
      <w:r w:rsidRPr="00624952">
        <w:t xml:space="preserve"> with 5 experimental conditions: </w:t>
      </w:r>
      <w:r w:rsidR="00364711" w:rsidRPr="00624952">
        <w:t xml:space="preserve">a </w:t>
      </w:r>
      <w:r w:rsidRPr="00624952">
        <w:t>positive control (untreated cells), a negative control (wells where the stopper was not removed), cells treated with 10nM of Taxol (a non-cytotoxic dose level which prevents cell migration</w:t>
      </w:r>
      <w:r w:rsidR="00FF5EEF" w:rsidRPr="00624952">
        <w:t xml:space="preserve"> </w:t>
      </w:r>
      <w:r w:rsidR="00306DF8">
        <w:t xml:space="preserve">but </w:t>
      </w:r>
      <w:r w:rsidR="00AA5688">
        <w:t xml:space="preserve">does </w:t>
      </w:r>
      <w:r w:rsidR="00306DF8">
        <w:t xml:space="preserve">not </w:t>
      </w:r>
      <w:r w:rsidR="00AA5688">
        <w:t xml:space="preserve">promote </w:t>
      </w:r>
      <w:r w:rsidR="00306DF8">
        <w:t>cell death</w:t>
      </w:r>
      <w:r w:rsidR="00FF5EEF" w:rsidRPr="00AA43B9">
        <w:t xml:space="preserve"> </w:t>
      </w:r>
      <w:r w:rsidR="00532C23" w:rsidRPr="00624952">
        <w:fldChar w:fldCharType="begin"/>
      </w:r>
      <w:r w:rsidR="00EF7152">
        <w:instrText xml:space="preserve"> ADDIN EN.CITE &lt;EndNote&gt;&lt;Cite&gt;&lt;Author&gt;Zhang&lt;/Author&gt;&lt;Year&gt;2014&lt;/Year&gt;&lt;RecNum&gt;54&lt;/RecNum&gt;&lt;DisplayText&gt;[6]&lt;/DisplayText&gt;&lt;record&gt;&lt;rec-number&gt;54&lt;/rec-number&gt;&lt;foreign-keys&gt;&lt;key app="EN" db-id="axe9pdsewpz5wied2vkp2xtmv50fw59xa599" timestamp="1476246637"&gt;54&lt;/key&gt;&lt;/foreign-keys&gt;&lt;ref-type name="Journal Article"&gt;17&lt;/ref-type&gt;&lt;contributors&gt;&lt;authors&gt;&lt;author&gt;Zhang, Dongshan&lt;/author&gt;&lt;author&gt;Yang, Ruhao&lt;/author&gt;&lt;author&gt;Wang, Shixuan&lt;/author&gt;&lt;author&gt;Dong, Zheng&lt;/author&gt;&lt;/authors&gt;&lt;/contributors&gt;&lt;titles&gt;&lt;title&gt;Paclitaxel: new uses for an old drug&lt;/title&gt;&lt;secondary-title&gt;Drug design, development and therapy&lt;/secondary-title&gt;&lt;/titles&gt;&lt;periodical&gt;&lt;full-title&gt;Drug design, development and therapy&lt;/full-title&gt;&lt;/periodical&gt;&lt;pages&gt;279&lt;/pages&gt;&lt;volume&gt;8&lt;/volume&gt;&lt;dates&gt;&lt;year&gt;2014&lt;/year&gt;&lt;/dates&gt;&lt;urls&gt;&lt;/urls&gt;&lt;/record&gt;&lt;/Cite&gt;&lt;/EndNote&gt;</w:instrText>
      </w:r>
      <w:r w:rsidR="00532C23" w:rsidRPr="00624952">
        <w:fldChar w:fldCharType="separate"/>
      </w:r>
      <w:r w:rsidR="00EF7152">
        <w:rPr>
          <w:noProof/>
        </w:rPr>
        <w:t>[6]</w:t>
      </w:r>
      <w:r w:rsidR="00532C23" w:rsidRPr="00624952">
        <w:fldChar w:fldCharType="end"/>
      </w:r>
      <w:r w:rsidRPr="00624952">
        <w:t xml:space="preserve">), </w:t>
      </w:r>
      <w:r w:rsidR="000A41E2" w:rsidRPr="00624952">
        <w:t>cells treated with</w:t>
      </w:r>
      <w:r w:rsidR="002A23E3">
        <w:t xml:space="preserve"> a 1:50 dilution of</w:t>
      </w:r>
      <w:r w:rsidR="000A41E2" w:rsidRPr="00624952">
        <w:t xml:space="preserve"> </w:t>
      </w:r>
      <w:r w:rsidR="008E6838">
        <w:t>AGR2-ab</w:t>
      </w:r>
      <w:r w:rsidRPr="00624952">
        <w:t xml:space="preserve"> to inactivate </w:t>
      </w:r>
      <w:r w:rsidR="00CE2B71">
        <w:t>e</w:t>
      </w:r>
      <w:r w:rsidR="00CE2B71" w:rsidRPr="00624952">
        <w:t>AGR2</w:t>
      </w:r>
      <w:r w:rsidRPr="00624952">
        <w:t xml:space="preserve">, and </w:t>
      </w:r>
      <w:r w:rsidR="00A43F0E" w:rsidRPr="00624952">
        <w:t xml:space="preserve">with </w:t>
      </w:r>
      <w:r w:rsidR="002A23E3">
        <w:t>a 1:50 dilution of</w:t>
      </w:r>
      <w:r w:rsidR="00A43F0E" w:rsidRPr="00624952">
        <w:t xml:space="preserve"> </w:t>
      </w:r>
      <w:r w:rsidR="00371D09" w:rsidRPr="00752245">
        <w:t>IgG</w:t>
      </w:r>
      <w:r w:rsidR="002A23E3" w:rsidRPr="00752245">
        <w:t xml:space="preserve">, </w:t>
      </w:r>
      <w:r w:rsidRPr="00624952">
        <w:t xml:space="preserve">a control </w:t>
      </w:r>
      <w:r w:rsidR="001F591B">
        <w:t>antibody</w:t>
      </w:r>
      <w:r w:rsidRPr="00624952">
        <w:t xml:space="preserve"> </w:t>
      </w:r>
      <w:r w:rsidR="00371D09">
        <w:t xml:space="preserve">(Ctrl-Ab) </w:t>
      </w:r>
      <w:r w:rsidRPr="00624952">
        <w:t xml:space="preserve">which  </w:t>
      </w:r>
      <w:r w:rsidR="00371D09">
        <w:t>does not affect cell migration</w:t>
      </w:r>
      <w:r w:rsidRPr="00624952">
        <w:t xml:space="preserve">. </w:t>
      </w:r>
      <w:r w:rsidR="00EC3043" w:rsidRPr="00624952">
        <w:t>Representative</w:t>
      </w:r>
      <w:r w:rsidR="003A0ABE" w:rsidRPr="00624952">
        <w:t xml:space="preserve"> images from these conditions</w:t>
      </w:r>
      <w:r w:rsidR="00EC3043" w:rsidRPr="00624952">
        <w:t xml:space="preserve"> (i.e., replicate </w:t>
      </w:r>
      <w:r w:rsidR="00FD5C8B">
        <w:t>1</w:t>
      </w:r>
      <w:r w:rsidR="00EC3043" w:rsidRPr="00624952">
        <w:t>)</w:t>
      </w:r>
      <w:r w:rsidR="003A0ABE" w:rsidRPr="00624952">
        <w:t xml:space="preserve"> are shown in </w:t>
      </w:r>
      <w:r w:rsidR="004B6F97">
        <w:t>F</w:t>
      </w:r>
      <w:r w:rsidR="003A0ABE" w:rsidRPr="00624952">
        <w:t>igure 3</w:t>
      </w:r>
      <w:r w:rsidR="00EC3043" w:rsidRPr="00624952">
        <w:t xml:space="preserve"> (top)</w:t>
      </w:r>
      <w:r w:rsidR="003A0ABE" w:rsidRPr="00624952">
        <w:t>.</w:t>
      </w:r>
    </w:p>
    <w:p w14:paraId="35232995" w14:textId="77777777" w:rsidR="004B6F97" w:rsidRDefault="004B6F97" w:rsidP="00EA7AD4"/>
    <w:p w14:paraId="20FF1AFD" w14:textId="1DA294F3" w:rsidR="00407867" w:rsidRDefault="004B6F97" w:rsidP="00E84349">
      <w:pPr>
        <w:jc w:val="center"/>
      </w:pPr>
      <w:r>
        <w:t>&lt;</w:t>
      </w:r>
      <w:r w:rsidRPr="00E84349">
        <w:rPr>
          <w:highlight w:val="yellow"/>
        </w:rPr>
        <w:t>Insert Figure 3</w:t>
      </w:r>
      <w:r>
        <w:t>&gt;</w:t>
      </w:r>
    </w:p>
    <w:p w14:paraId="75BB17ED" w14:textId="77777777" w:rsidR="006B7582" w:rsidRDefault="006B7582" w:rsidP="00EA7AD4"/>
    <w:p w14:paraId="2591CBE5" w14:textId="7E9B3662" w:rsidR="00DF13C8" w:rsidRPr="00624952" w:rsidRDefault="00DF13C8" w:rsidP="00EA7AD4">
      <w:r w:rsidRPr="00624952">
        <w:t xml:space="preserve">For the untreated case and the control peptide we observe </w:t>
      </w:r>
      <w:r w:rsidR="00CE2B71">
        <w:t>increased</w:t>
      </w:r>
      <w:r w:rsidRPr="00624952">
        <w:t xml:space="preserve"> migration, with </w:t>
      </w:r>
      <w:r w:rsidR="00752245">
        <w:t>46</w:t>
      </w:r>
      <w:r w:rsidRPr="00624952">
        <w:t>±</w:t>
      </w:r>
      <w:r w:rsidR="00752245">
        <w:t>2</w:t>
      </w:r>
      <w:r w:rsidRPr="00624952">
        <w:t xml:space="preserve"> (</w:t>
      </w:r>
      <w:r w:rsidR="00517C2E" w:rsidRPr="00624952">
        <w:t xml:space="preserve">mean ± </w:t>
      </w:r>
      <w:r w:rsidRPr="00624952">
        <w:t xml:space="preserve">standard error of the mean) percent of the migration region covered in the untreated case and </w:t>
      </w:r>
      <w:r w:rsidR="00D74D51">
        <w:t>42</w:t>
      </w:r>
      <w:r w:rsidRPr="00624952">
        <w:t>±</w:t>
      </w:r>
      <w:r w:rsidR="00D74D51">
        <w:t>1</w:t>
      </w:r>
      <w:r w:rsidRPr="00624952">
        <w:t>.</w:t>
      </w:r>
      <w:r w:rsidR="00752245">
        <w:t>7</w:t>
      </w:r>
      <w:r w:rsidR="00752245" w:rsidRPr="00624952">
        <w:t xml:space="preserve"> </w:t>
      </w:r>
      <w:r w:rsidRPr="00624952">
        <w:t xml:space="preserve">percent of the migration region covered in the control </w:t>
      </w:r>
      <w:r w:rsidR="00D74D51">
        <w:t>antibody</w:t>
      </w:r>
      <w:r w:rsidR="003530EB">
        <w:t xml:space="preserve"> case</w:t>
      </w:r>
      <w:r w:rsidRPr="00624952">
        <w:t xml:space="preserve">. We fail to reject the null hypothesis that these two are the sample means from the same distribution (p value of </w:t>
      </w:r>
      <w:r w:rsidR="003530EB" w:rsidRPr="003530EB">
        <w:t>0.084</w:t>
      </w:r>
      <w:r w:rsidRPr="00624952">
        <w:t>). In</w:t>
      </w:r>
      <w:r w:rsidR="003530EB">
        <w:t xml:space="preserve"> the</w:t>
      </w:r>
      <w:r w:rsidRPr="00624952">
        <w:t xml:space="preserve"> Taxol case, </w:t>
      </w:r>
      <w:r w:rsidR="003530EB">
        <w:t>21</w:t>
      </w:r>
      <w:r w:rsidRPr="00624952">
        <w:t>±</w:t>
      </w:r>
      <w:r w:rsidR="003530EB">
        <w:t>1.</w:t>
      </w:r>
      <w:r w:rsidR="00752245">
        <w:t>9</w:t>
      </w:r>
      <w:r w:rsidRPr="00624952">
        <w:t xml:space="preserve"> percent of the migration region is covered.</w:t>
      </w:r>
      <w:r w:rsidR="00517C2E" w:rsidRPr="00624952">
        <w:t xml:space="preserve"> We reject the null hypothesis that the mean of the Taxol population and the mean of the untreated case are sample means from the same distribution (p value of </w:t>
      </w:r>
      <w:r w:rsidR="003530EB">
        <w:t>8</w:t>
      </w:r>
      <w:r w:rsidR="00517C2E" w:rsidRPr="00624952">
        <w:t>.</w:t>
      </w:r>
      <w:r w:rsidR="003530EB">
        <w:t>16</w:t>
      </w:r>
      <w:r w:rsidR="00517C2E" w:rsidRPr="00624952">
        <w:t>e-</w:t>
      </w:r>
      <w:r w:rsidR="003530EB">
        <w:t>5</w:t>
      </w:r>
      <w:r w:rsidR="00517C2E" w:rsidRPr="00624952">
        <w:t xml:space="preserve">). </w:t>
      </w:r>
      <w:r w:rsidRPr="00624952">
        <w:t xml:space="preserve">Similarly, for the </w:t>
      </w:r>
      <w:r w:rsidR="003530EB">
        <w:t>AGR2-Ab</w:t>
      </w:r>
      <w:r w:rsidRPr="00624952">
        <w:t xml:space="preserve"> case, </w:t>
      </w:r>
      <w:r w:rsidR="000012FF">
        <w:t>13</w:t>
      </w:r>
      <w:r w:rsidRPr="00624952">
        <w:t>±3.</w:t>
      </w:r>
      <w:r w:rsidR="00752245">
        <w:t>2</w:t>
      </w:r>
      <w:r w:rsidRPr="00624952">
        <w:t xml:space="preserve"> percent of the </w:t>
      </w:r>
      <w:r w:rsidRPr="00624952">
        <w:lastRenderedPageBreak/>
        <w:t xml:space="preserve">migration region is covered. We reject the null hypothesis that the mean of the </w:t>
      </w:r>
      <w:r w:rsidR="000012FF">
        <w:t>AGR2-Ab</w:t>
      </w:r>
      <w:r w:rsidRPr="00624952">
        <w:t xml:space="preserve"> population and the mean of the untreated case are sample means from the same distribution (p value of </w:t>
      </w:r>
      <w:r w:rsidR="000012FF">
        <w:t>2</w:t>
      </w:r>
      <w:r w:rsidRPr="00624952">
        <w:t>.</w:t>
      </w:r>
      <w:r w:rsidR="000012FF">
        <w:t>1</w:t>
      </w:r>
      <w:r w:rsidRPr="00624952">
        <w:t>9e-</w:t>
      </w:r>
      <w:r w:rsidR="000012FF">
        <w:t>5</w:t>
      </w:r>
      <w:r w:rsidRPr="00624952">
        <w:t>). Not only</w:t>
      </w:r>
      <w:r w:rsidR="00D07606">
        <w:t xml:space="preserve"> do</w:t>
      </w:r>
      <w:r w:rsidRPr="00624952">
        <w:t xml:space="preserve"> we confirm the hypothesis that MDA-MB-231 cells’ migration is reduced in the absence of AGR2, but our method allows for reproducible quantification of </w:t>
      </w:r>
      <w:r w:rsidR="00D07606">
        <w:t xml:space="preserve">these </w:t>
      </w:r>
      <w:r w:rsidRPr="00624952">
        <w:t>qualitative observations.</w:t>
      </w:r>
      <w:r w:rsidR="00E26081">
        <w:t xml:space="preserve"> Furthermore</w:t>
      </w:r>
      <w:r w:rsidR="00BB7AD3">
        <w:t>,</w:t>
      </w:r>
      <w:r w:rsidR="00E26081">
        <w:t xml:space="preserve"> the </w:t>
      </w:r>
      <w:r w:rsidR="00BB7AD3">
        <w:t xml:space="preserve">algorithms used to compute </w:t>
      </w:r>
      <m:oMath>
        <m:r>
          <w:rPr>
            <w:rFonts w:ascii="Cambria Math" w:hAnsi="Cambria Math"/>
          </w:rPr>
          <m:t>Q</m:t>
        </m:r>
      </m:oMath>
      <w:r w:rsidR="00BB7AD3">
        <w:rPr>
          <w:rFonts w:eastAsiaTheme="minorEastAsia"/>
        </w:rPr>
        <w:t xml:space="preserve"> require</w:t>
      </w:r>
      <w:r w:rsidR="00D07606">
        <w:rPr>
          <w:rFonts w:eastAsiaTheme="minorEastAsia"/>
        </w:rPr>
        <w:t>s</w:t>
      </w:r>
      <w:r w:rsidR="00BB7AD3">
        <w:rPr>
          <w:rFonts w:eastAsiaTheme="minorEastAsia"/>
        </w:rPr>
        <w:t xml:space="preserve"> a single input from the user (a string with the names of the control experiments) and it can run </w:t>
      </w:r>
      <w:r w:rsidR="00D07606">
        <w:rPr>
          <w:rFonts w:eastAsiaTheme="minorEastAsia"/>
        </w:rPr>
        <w:t>o</w:t>
      </w:r>
      <w:r w:rsidR="00BB7AD3">
        <w:rPr>
          <w:rFonts w:eastAsiaTheme="minorEastAsia"/>
        </w:rPr>
        <w:t xml:space="preserve">n a desktop machine with </w:t>
      </w:r>
      <w:proofErr w:type="spellStart"/>
      <w:r w:rsidR="00BB7AD3">
        <w:rPr>
          <w:rFonts w:eastAsiaTheme="minorEastAsia"/>
        </w:rPr>
        <w:t>Matlab</w:t>
      </w:r>
      <w:proofErr w:type="spellEnd"/>
      <w:r w:rsidR="00413708">
        <w:rPr>
          <w:rFonts w:eastAsiaTheme="minorEastAsia"/>
        </w:rPr>
        <w:t xml:space="preserve"> (R2015a and above)</w:t>
      </w:r>
      <w:r w:rsidR="00BB7AD3">
        <w:rPr>
          <w:rFonts w:eastAsiaTheme="minorEastAsia"/>
        </w:rPr>
        <w:t xml:space="preserve"> installed.</w:t>
      </w:r>
    </w:p>
    <w:p w14:paraId="6547E023" w14:textId="77777777" w:rsidR="00D375C0" w:rsidRPr="00624952" w:rsidRDefault="00D375C0" w:rsidP="00EA7AD4">
      <w:pPr>
        <w:pStyle w:val="Heading1"/>
        <w:jc w:val="left"/>
      </w:pPr>
    </w:p>
    <w:p w14:paraId="116E97A7" w14:textId="77777777" w:rsidR="00DF13C8" w:rsidRPr="00624952" w:rsidRDefault="00DF13C8" w:rsidP="00EA7AD4">
      <w:pPr>
        <w:pStyle w:val="Heading1"/>
      </w:pPr>
      <w:r w:rsidRPr="00624952">
        <w:t>Conclusion</w:t>
      </w:r>
      <w:r w:rsidR="00D555C5" w:rsidRPr="00624952">
        <w:t>s</w:t>
      </w:r>
      <w:r w:rsidR="00607859">
        <w:t xml:space="preserve"> and Future Work</w:t>
      </w:r>
    </w:p>
    <w:p w14:paraId="5ABC9B96" w14:textId="77777777" w:rsidR="00D375C0" w:rsidRPr="00624952" w:rsidRDefault="00D375C0" w:rsidP="00EA7AD4"/>
    <w:p w14:paraId="10A9B2FF" w14:textId="23825AB2" w:rsidR="00B62A72" w:rsidRDefault="00DB1D89" w:rsidP="00EA7AD4">
      <w:r w:rsidRPr="00624952">
        <w:t xml:space="preserve">We have designed and implemented a pipeline for quantifying cell migration </w:t>
      </w:r>
      <w:r w:rsidRPr="00624952">
        <w:rPr>
          <w:i/>
        </w:rPr>
        <w:t>in vitro</w:t>
      </w:r>
      <w:r w:rsidRPr="00624952">
        <w:t xml:space="preserve">. </w:t>
      </w:r>
      <w:r w:rsidR="00C835A2">
        <w:t>It is worth noting that t</w:t>
      </w:r>
      <w:r w:rsidR="00607859">
        <w:t>his metric may not discern between cell motility and proliferation, hence in order to use it to estimate parameters for a mechanistic model</w:t>
      </w:r>
      <w:r w:rsidR="002A7E04">
        <w:t>,</w:t>
      </w:r>
      <w:r w:rsidR="00607859">
        <w:t xml:space="preserve"> a parameter estimator such as </w:t>
      </w:r>
      <w:proofErr w:type="spellStart"/>
      <w:r w:rsidR="00607859">
        <w:t>CellPD</w:t>
      </w:r>
      <w:proofErr w:type="spellEnd"/>
      <w:r w:rsidR="00607859">
        <w:t xml:space="preserve"> </w:t>
      </w:r>
      <w:r w:rsidR="00EA112B">
        <w:t>[</w:t>
      </w:r>
      <w:r w:rsidR="00881A28">
        <w:t>7</w:t>
      </w:r>
      <w:r w:rsidR="00EA112B">
        <w:t>]</w:t>
      </w:r>
      <w:r w:rsidR="00607859">
        <w:t xml:space="preserve"> should be used to estimate parameters of processes which decouple proliferation and motility</w:t>
      </w:r>
      <w:r w:rsidR="00881A28">
        <w:t xml:space="preserve"> [8,9]</w:t>
      </w:r>
      <w:r w:rsidR="00607859">
        <w:t>. However this</w:t>
      </w:r>
      <w:r w:rsidR="002A7E04">
        <w:t xml:space="preserve"> metric</w:t>
      </w:r>
      <w:r w:rsidR="00A4527A">
        <w:t xml:space="preserve"> is robust</w:t>
      </w:r>
      <w:r w:rsidRPr="00624952">
        <w:t xml:space="preserve"> to image noise, open source, </w:t>
      </w:r>
      <w:r w:rsidR="00A4527A">
        <w:t>replicable, replicable</w:t>
      </w:r>
      <w:r w:rsidR="00A4527A" w:rsidRPr="00624952">
        <w:t xml:space="preserve"> </w:t>
      </w:r>
      <w:r w:rsidRPr="00624952">
        <w:t>and user friendly. In particular, we show that H10 aids in the reduction of migration of MDA-MB-231 cells by blocking sAGR2.</w:t>
      </w:r>
      <w:r w:rsidR="005C1F2E">
        <w:t xml:space="preserve">  This pipeline can be expanded to various cancer cell lines and model systems.  </w:t>
      </w:r>
    </w:p>
    <w:p w14:paraId="59448A85" w14:textId="77777777" w:rsidR="00F61EB7" w:rsidRPr="00624952" w:rsidRDefault="00F61EB7" w:rsidP="00EA7AD4"/>
    <w:p w14:paraId="15C548A5" w14:textId="77777777" w:rsidR="00AC1C90" w:rsidRDefault="00AC1C90" w:rsidP="00E84349">
      <w:pPr>
        <w:pStyle w:val="Heading1"/>
        <w:jc w:val="left"/>
        <w:rPr>
          <w:sz w:val="22"/>
          <w:szCs w:val="22"/>
          <w:u w:val="none"/>
        </w:rPr>
      </w:pPr>
    </w:p>
    <w:p w14:paraId="3432EBE7" w14:textId="0A990A39" w:rsidR="00956A27" w:rsidRPr="00E84349" w:rsidRDefault="00956A27" w:rsidP="00E84349">
      <w:pPr>
        <w:pStyle w:val="Heading1"/>
        <w:jc w:val="left"/>
        <w:rPr>
          <w:sz w:val="22"/>
          <w:szCs w:val="22"/>
          <w:u w:val="none"/>
        </w:rPr>
      </w:pPr>
      <w:r w:rsidRPr="00E84349">
        <w:rPr>
          <w:sz w:val="22"/>
          <w:szCs w:val="22"/>
          <w:u w:val="none"/>
        </w:rPr>
        <w:t xml:space="preserve">Data </w:t>
      </w:r>
      <w:r w:rsidR="00FD5964" w:rsidRPr="00E84349">
        <w:rPr>
          <w:sz w:val="22"/>
          <w:szCs w:val="22"/>
          <w:u w:val="none"/>
        </w:rPr>
        <w:t>a</w:t>
      </w:r>
      <w:r w:rsidRPr="00E84349">
        <w:rPr>
          <w:sz w:val="22"/>
          <w:szCs w:val="22"/>
          <w:u w:val="none"/>
        </w:rPr>
        <w:t>vailability</w:t>
      </w:r>
    </w:p>
    <w:p w14:paraId="2048E8AE" w14:textId="77777777" w:rsidR="00FD5964" w:rsidRDefault="00FD5964" w:rsidP="00E84349"/>
    <w:p w14:paraId="281331D4" w14:textId="780CC728" w:rsidR="00FD5964" w:rsidRDefault="00FD5964" w:rsidP="00E84349">
      <w:pPr>
        <w:rPr>
          <w:rStyle w:val="Hyperlink"/>
        </w:rPr>
      </w:pPr>
      <w:commentRangeStart w:id="9"/>
      <w:r>
        <w:t>Raw microscope images from this analysis are available from the project GitHub repository</w:t>
      </w:r>
      <w:r w:rsidR="00AC1C90">
        <w:t xml:space="preserve">: </w:t>
      </w:r>
      <w:hyperlink r:id="rId13" w:history="1">
        <w:r w:rsidR="00AC1C90" w:rsidRPr="008F7C29">
          <w:rPr>
            <w:rStyle w:val="Hyperlink"/>
          </w:rPr>
          <w:t>https://github.com/edjuaro/cell-migration-quantification</w:t>
        </w:r>
      </w:hyperlink>
      <w:commentRangeEnd w:id="9"/>
      <w:r w:rsidR="00AC1C90">
        <w:rPr>
          <w:rStyle w:val="CommentReference"/>
        </w:rPr>
        <w:commentReference w:id="9"/>
      </w:r>
    </w:p>
    <w:p w14:paraId="2826C28F" w14:textId="77777777" w:rsidR="00AC1C90" w:rsidRDefault="00AC1C90" w:rsidP="00E84349">
      <w:pPr>
        <w:rPr>
          <w:rStyle w:val="Hyperlink"/>
        </w:rPr>
      </w:pPr>
    </w:p>
    <w:p w14:paraId="7202B772" w14:textId="6D4485E6" w:rsidR="00AC1C90" w:rsidRPr="005F243B" w:rsidRDefault="00AC1C90" w:rsidP="00E84349">
      <w:r w:rsidRPr="00E84349">
        <w:rPr>
          <w:rStyle w:val="Hyperlink"/>
          <w:b/>
          <w:color w:val="auto"/>
          <w:u w:val="none"/>
        </w:rPr>
        <w:t>Software availability</w:t>
      </w:r>
    </w:p>
    <w:p w14:paraId="2090DB2E" w14:textId="77777777" w:rsidR="00956A27" w:rsidRDefault="00956A27" w:rsidP="00956A27"/>
    <w:p w14:paraId="70353A84" w14:textId="2C29D087" w:rsidR="00956A27" w:rsidRDefault="00956A27" w:rsidP="00956A27">
      <w:commentRangeStart w:id="10"/>
      <w:r>
        <w:t>The</w:t>
      </w:r>
      <w:r w:rsidR="00AC1C90">
        <w:t xml:space="preserve"> source</w:t>
      </w:r>
      <w:r>
        <w:t xml:space="preserve"> code used throughout this manuscript can be accessed in the public </w:t>
      </w:r>
      <w:r w:rsidR="008F7C29">
        <w:t>G</w:t>
      </w:r>
      <w:r>
        <w:t>it</w:t>
      </w:r>
      <w:r w:rsidR="008F7C29">
        <w:t>H</w:t>
      </w:r>
      <w:r>
        <w:t xml:space="preserve">ub repository: </w:t>
      </w:r>
      <w:hyperlink r:id="rId14" w:history="1">
        <w:r w:rsidRPr="008F7C29">
          <w:rPr>
            <w:rStyle w:val="Hyperlink"/>
          </w:rPr>
          <w:t>https://github.com/edjuaro/cell-migration-quantification</w:t>
        </w:r>
      </w:hyperlink>
      <w:r w:rsidR="008F7C29">
        <w:t>.</w:t>
      </w:r>
      <w:commentRangeEnd w:id="10"/>
      <w:r w:rsidR="00AC1C90">
        <w:rPr>
          <w:rStyle w:val="CommentReference"/>
        </w:rPr>
        <w:commentReference w:id="10"/>
      </w:r>
    </w:p>
    <w:p w14:paraId="4C1B91A3" w14:textId="77777777" w:rsidR="00AC1C90" w:rsidRDefault="00AC1C90" w:rsidP="00956A27"/>
    <w:p w14:paraId="58AEEDAF" w14:textId="77777777" w:rsidR="00AC1C90" w:rsidRDefault="00AC1C90" w:rsidP="00956A27"/>
    <w:p w14:paraId="49E139C0" w14:textId="77777777" w:rsidR="00AC1C90" w:rsidRDefault="00AC1C90" w:rsidP="00956A27"/>
    <w:p w14:paraId="4512CCBE" w14:textId="77777777" w:rsidR="00956A27" w:rsidRPr="00956A27" w:rsidRDefault="00956A27" w:rsidP="00956A27"/>
    <w:p w14:paraId="110DAA20" w14:textId="29261795" w:rsidR="009533D1" w:rsidRPr="00E84349" w:rsidRDefault="00FD5964" w:rsidP="00EA7AD4">
      <w:pPr>
        <w:rPr>
          <w:b/>
        </w:rPr>
      </w:pPr>
      <w:commentRangeStart w:id="11"/>
      <w:r w:rsidRPr="00E84349">
        <w:rPr>
          <w:b/>
        </w:rPr>
        <w:t>Competing interests</w:t>
      </w:r>
      <w:commentRangeEnd w:id="11"/>
      <w:r w:rsidR="00AC1C90">
        <w:rPr>
          <w:rStyle w:val="CommentReference"/>
        </w:rPr>
        <w:commentReference w:id="11"/>
      </w:r>
    </w:p>
    <w:p w14:paraId="2ACA2CD1" w14:textId="77777777" w:rsidR="00FD5964" w:rsidRDefault="00FD5964" w:rsidP="00EA7AD4"/>
    <w:p w14:paraId="7E52BA22" w14:textId="77777777" w:rsidR="00FD5964" w:rsidRDefault="00FD5964" w:rsidP="00EA7AD4"/>
    <w:p w14:paraId="46BBADDA" w14:textId="77777777" w:rsidR="00FD5964" w:rsidRDefault="00FD5964" w:rsidP="00EA7AD4"/>
    <w:p w14:paraId="356377CF" w14:textId="212576A2" w:rsidR="00FD5964" w:rsidRPr="00E84349" w:rsidRDefault="00FD5964" w:rsidP="00EA7AD4">
      <w:pPr>
        <w:rPr>
          <w:b/>
        </w:rPr>
      </w:pPr>
      <w:r w:rsidRPr="00E84349">
        <w:rPr>
          <w:b/>
        </w:rPr>
        <w:t xml:space="preserve">Grant information </w:t>
      </w:r>
    </w:p>
    <w:p w14:paraId="0159425D" w14:textId="77777777" w:rsidR="00FD5964" w:rsidRDefault="00FD5964" w:rsidP="00FD5964"/>
    <w:p w14:paraId="711D0517" w14:textId="1F5E4390" w:rsidR="00FD5964" w:rsidRPr="00624952" w:rsidRDefault="00FD5964" w:rsidP="00FD5964">
      <w:r>
        <w:t>This work was supported by the</w:t>
      </w:r>
      <w:r w:rsidRPr="00624952">
        <w:t xml:space="preserve"> USC Center for Applied Molecular Medicine</w:t>
      </w:r>
      <w:r>
        <w:t>,</w:t>
      </w:r>
      <w:r w:rsidRPr="00624952">
        <w:t xml:space="preserve"> the National Institutes of Health (Physical Sciences Oncology Center </w:t>
      </w:r>
      <w:r>
        <w:t>[</w:t>
      </w:r>
      <w:r w:rsidRPr="00624952">
        <w:t>5U54CA143907</w:t>
      </w:r>
      <w:r>
        <w:t>]</w:t>
      </w:r>
      <w:r w:rsidRPr="00624952">
        <w:t xml:space="preserve"> for Multi-scale Complex Systems Transdisciplinary Analysis of Response to Therapy (MCSTART), and </w:t>
      </w:r>
      <w:r>
        <w:t>[</w:t>
      </w:r>
      <w:r w:rsidRPr="00624952">
        <w:t>1R01CA180149</w:t>
      </w:r>
      <w:r>
        <w:t>]</w:t>
      </w:r>
      <w:r w:rsidRPr="00624952">
        <w:t xml:space="preserve">), the Breast Cancer Research Foundation, the USC James H. </w:t>
      </w:r>
      <w:proofErr w:type="spellStart"/>
      <w:r w:rsidRPr="00624952">
        <w:t>Zumberge</w:t>
      </w:r>
      <w:proofErr w:type="spellEnd"/>
      <w:r w:rsidRPr="00624952">
        <w:t xml:space="preserve"> Research and Innovation Fund, and </w:t>
      </w:r>
      <w:r>
        <w:t xml:space="preserve">a </w:t>
      </w:r>
      <w:r w:rsidRPr="00624952">
        <w:t>USC Provost’s PhD fellowship</w:t>
      </w:r>
      <w:r>
        <w:t>.</w:t>
      </w:r>
    </w:p>
    <w:p w14:paraId="43F82162" w14:textId="77777777" w:rsidR="00FD5964" w:rsidRDefault="00FD5964" w:rsidP="00EA7AD4"/>
    <w:p w14:paraId="3544EA03" w14:textId="77777777" w:rsidR="00FD5964" w:rsidRDefault="00FD5964" w:rsidP="00EA7AD4"/>
    <w:p w14:paraId="5444376F" w14:textId="77777777" w:rsidR="009533D1" w:rsidRDefault="009533D1" w:rsidP="00BD4DEC">
      <w:pPr>
        <w:pStyle w:val="Heading1"/>
      </w:pPr>
      <w:r>
        <w:t>References</w:t>
      </w:r>
    </w:p>
    <w:p w14:paraId="580F84CD" w14:textId="77777777" w:rsidR="00BD4DEC" w:rsidRPr="00BD4DEC" w:rsidRDefault="00BD4DEC" w:rsidP="00BD4DEC"/>
    <w:p w14:paraId="66668064" w14:textId="77777777" w:rsidR="009533D1" w:rsidRDefault="009533D1" w:rsidP="00BD4DEC">
      <w:pPr>
        <w:spacing w:line="259" w:lineRule="auto"/>
      </w:pPr>
      <w:r>
        <w:t>[1]  D. H. Jones et al., "Regulation of cancer cell migration and bone metastasis by RANKL," Nature, vol. 440, pp. 692-696, 2006.</w:t>
      </w:r>
    </w:p>
    <w:p w14:paraId="055866F4" w14:textId="77777777" w:rsidR="009533D1" w:rsidRDefault="009533D1" w:rsidP="00BD4DEC">
      <w:pPr>
        <w:spacing w:line="259" w:lineRule="auto"/>
      </w:pPr>
      <w:r>
        <w:lastRenderedPageBreak/>
        <w:t xml:space="preserve">[2]  V. </w:t>
      </w:r>
      <w:proofErr w:type="spellStart"/>
      <w:r>
        <w:t>Brychtova</w:t>
      </w:r>
      <w:proofErr w:type="spellEnd"/>
      <w:r>
        <w:t xml:space="preserve"> et al., "Mechanisms of anterior gradient-2 regulation and function in cancer," in Seminars in cancer biology, 2015, pp. 16-24.</w:t>
      </w:r>
    </w:p>
    <w:p w14:paraId="2B726453" w14:textId="77777777" w:rsidR="009533D1" w:rsidRDefault="009533D1" w:rsidP="00BD4DEC">
      <w:pPr>
        <w:spacing w:line="259" w:lineRule="auto"/>
      </w:pPr>
      <w:r>
        <w:t xml:space="preserve">[3]  K. </w:t>
      </w:r>
      <w:proofErr w:type="spellStart"/>
      <w:r>
        <w:t>Kani</w:t>
      </w:r>
      <w:proofErr w:type="spellEnd"/>
      <w:r>
        <w:t xml:space="preserve"> et al., "Anterior gradient 2 (AGR2): Blood‐based biomarker elevated in metastatic prostate cancer associated with the neuroendocrine phenotype," The Prostate, vol. 73, pp. 306-315, 2013.</w:t>
      </w:r>
    </w:p>
    <w:p w14:paraId="5E7F9B24" w14:textId="77777777" w:rsidR="009533D1" w:rsidRDefault="009533D1" w:rsidP="00BD4DEC">
      <w:pPr>
        <w:spacing w:line="259" w:lineRule="auto"/>
      </w:pPr>
      <w:r>
        <w:t xml:space="preserve">[4]  F. R. </w:t>
      </w:r>
      <w:proofErr w:type="spellStart"/>
      <w:r>
        <w:t>Fritzsche</w:t>
      </w:r>
      <w:proofErr w:type="spellEnd"/>
      <w:r>
        <w:t xml:space="preserve"> et al., "Prognostic relevance of AGR2 expression in breast cancer," Clinical Cancer Research, vol. 12, pp. 1728-1734, 2006.</w:t>
      </w:r>
    </w:p>
    <w:p w14:paraId="606FAFDC" w14:textId="77777777" w:rsidR="009533D1" w:rsidRDefault="009533D1" w:rsidP="00BD4DEC">
      <w:pPr>
        <w:spacing w:line="259" w:lineRule="auto"/>
      </w:pPr>
      <w:r>
        <w:t>[5]  J. T. Price et al., "Epidermal growth factor promotes MDA-MB-231 breast cancer cell migration through a phosphatidylinositol 3′-kinase and phospholipase C-dependent mechanism," Cancer research, vol. 59, pp. 5475-5478, 1999.</w:t>
      </w:r>
    </w:p>
    <w:p w14:paraId="37BA6776" w14:textId="77777777" w:rsidR="009533D1" w:rsidRDefault="009533D1" w:rsidP="00BD4DEC">
      <w:pPr>
        <w:spacing w:line="259" w:lineRule="auto"/>
      </w:pPr>
      <w:r>
        <w:t>[6]  D. Zhang et al., "Paclitaxel: new uses for an old drug," Drug design, development and therapy, vol. 8, p. 279, 2014.</w:t>
      </w:r>
    </w:p>
    <w:p w14:paraId="051FD9DC" w14:textId="77777777" w:rsidR="009533D1" w:rsidRDefault="009533D1" w:rsidP="00BD4DEC">
      <w:pPr>
        <w:spacing w:line="259" w:lineRule="auto"/>
      </w:pPr>
      <w:r w:rsidRPr="00E84349">
        <w:rPr>
          <w:lang w:val="es-SV"/>
        </w:rPr>
        <w:t xml:space="preserve">[7]  E.F. Juarez et al. </w:t>
      </w:r>
      <w:r>
        <w:t>"</w:t>
      </w:r>
      <w:r w:rsidRPr="00C66352">
        <w:t xml:space="preserve">Quantifying differences in cell line population dynamics using </w:t>
      </w:r>
      <w:proofErr w:type="spellStart"/>
      <w:r w:rsidRPr="00C66352">
        <w:t>CellPD</w:t>
      </w:r>
      <w:proofErr w:type="spellEnd"/>
      <w:r>
        <w:t xml:space="preserve">," </w:t>
      </w:r>
      <w:r w:rsidRPr="009533D1">
        <w:t>BMC Systems Biology</w:t>
      </w:r>
      <w:r>
        <w:t>, vol. 10, p. 92, 2016</w:t>
      </w:r>
    </w:p>
    <w:p w14:paraId="31F5850B" w14:textId="77777777" w:rsidR="009533D1" w:rsidRDefault="009533D1" w:rsidP="00BD4DEC">
      <w:pPr>
        <w:spacing w:line="259" w:lineRule="auto"/>
      </w:pPr>
      <w:r w:rsidRPr="00217734">
        <w:t xml:space="preserve">[8] M. J. Simpson et al., </w:t>
      </w:r>
      <w:r w:rsidRPr="00C66352">
        <w:t>"Quantifying the roles of cell motility and cell proliferation in a circular barrier assay</w:t>
      </w:r>
      <w:r>
        <w:t xml:space="preserve">," </w:t>
      </w:r>
      <w:r w:rsidRPr="009533D1">
        <w:t>Journal of the Royal Society Interface</w:t>
      </w:r>
      <w:r>
        <w:t xml:space="preserve">, vol. 10, p. </w:t>
      </w:r>
      <w:r w:rsidRPr="009533D1">
        <w:t>20130007</w:t>
      </w:r>
      <w:r>
        <w:t>, 2013</w:t>
      </w:r>
    </w:p>
    <w:p w14:paraId="32FDD2B6" w14:textId="77777777" w:rsidR="004B6F97" w:rsidRDefault="009533D1" w:rsidP="00407867">
      <w:pPr>
        <w:spacing w:line="259" w:lineRule="auto"/>
      </w:pPr>
      <w:r>
        <w:t>[9] K.K. Treloar et al., "</w:t>
      </w:r>
      <w:r w:rsidRPr="009533D1">
        <w:t>Are in vitro estimates of cell diffusivity and cell proliferation rate sensitive to assay geometry?</w:t>
      </w:r>
      <w:r>
        <w:t xml:space="preserve">," </w:t>
      </w:r>
      <w:r w:rsidRPr="009533D1">
        <w:t>Journal of theoretical biology</w:t>
      </w:r>
      <w:r>
        <w:t xml:space="preserve">, vol. </w:t>
      </w:r>
      <w:r w:rsidR="00AE4D60">
        <w:t>356, pp. 71-84, 2014</w:t>
      </w:r>
    </w:p>
    <w:p w14:paraId="3428FCD3" w14:textId="1EF1E21F" w:rsidR="00AC1C90" w:rsidRDefault="00AC1C90" w:rsidP="00407867">
      <w:pPr>
        <w:spacing w:line="259" w:lineRule="auto"/>
      </w:pPr>
      <w:r>
        <w:t xml:space="preserve">[10] </w:t>
      </w:r>
      <w:r w:rsidRPr="00AC1C90">
        <w:t xml:space="preserve">Juarez, E. F., </w:t>
      </w:r>
      <w:proofErr w:type="spellStart"/>
      <w:r w:rsidRPr="00AC1C90">
        <w:t>Garri</w:t>
      </w:r>
      <w:proofErr w:type="spellEnd"/>
      <w:r w:rsidRPr="00AC1C90">
        <w:t xml:space="preserve">, C., </w:t>
      </w:r>
      <w:proofErr w:type="spellStart"/>
      <w:r w:rsidRPr="00AC1C90">
        <w:t>Ghaffarizadeh</w:t>
      </w:r>
      <w:proofErr w:type="spellEnd"/>
      <w:r w:rsidRPr="00AC1C90">
        <w:t xml:space="preserve">, A., Macklin, P., &amp; </w:t>
      </w:r>
      <w:proofErr w:type="spellStart"/>
      <w:r w:rsidRPr="00AC1C90">
        <w:t>Kani</w:t>
      </w:r>
      <w:proofErr w:type="spellEnd"/>
      <w:r w:rsidRPr="00AC1C90">
        <w:t xml:space="preserve">, K. (2017, April 25). Quantification of Cancer Cell Migration with an Integrated Experimental-Computational Pipeline. Cold Spring Harbor Laboratory. </w:t>
      </w:r>
      <w:hyperlink r:id="rId15" w:history="1">
        <w:r w:rsidRPr="00807D97">
          <w:rPr>
            <w:rStyle w:val="Hyperlink"/>
          </w:rPr>
          <w:t>https://doi.org/10.1101/130526</w:t>
        </w:r>
      </w:hyperlink>
      <w:r>
        <w:t xml:space="preserve"> </w:t>
      </w:r>
    </w:p>
    <w:p w14:paraId="4E89502E" w14:textId="77777777" w:rsidR="004B6F97" w:rsidRDefault="004B6F97" w:rsidP="004B6F97"/>
    <w:p w14:paraId="04D5DA2B" w14:textId="77777777" w:rsidR="004B6F97" w:rsidRDefault="004B6F97" w:rsidP="004B6F97"/>
    <w:p w14:paraId="1B1F54DA" w14:textId="77777777" w:rsidR="004B6F97" w:rsidRPr="00E84349" w:rsidRDefault="004B6F97" w:rsidP="004B6F97">
      <w:pPr>
        <w:rPr>
          <w:b/>
        </w:rPr>
      </w:pPr>
      <w:r w:rsidRPr="00E84349">
        <w:rPr>
          <w:b/>
        </w:rPr>
        <w:t xml:space="preserve">Figures </w:t>
      </w:r>
    </w:p>
    <w:p w14:paraId="1C06EFA3" w14:textId="77777777" w:rsidR="004B6F97" w:rsidRDefault="004B6F97" w:rsidP="004B6F97"/>
    <w:p w14:paraId="5123FBC8" w14:textId="77777777" w:rsidR="004B6F97" w:rsidRPr="00D07606" w:rsidRDefault="004B6F97" w:rsidP="00D07606">
      <w:r w:rsidRPr="004B6F97">
        <w:t>Figure 1 – Sample images immediately after the stopper was removed. In order to identify the migration region, we took images of each well (left), then we select a mask that covers the area utilized by cells, highlighted in green (right).</w:t>
      </w:r>
    </w:p>
    <w:p w14:paraId="6C7F1101" w14:textId="77777777" w:rsidR="004B6F97" w:rsidRDefault="004B6F97" w:rsidP="004B6F97"/>
    <w:p w14:paraId="61BC3C09" w14:textId="77777777" w:rsidR="004B6F97" w:rsidRDefault="004B6F97" w:rsidP="004B6F97">
      <w:r w:rsidRPr="004B6F97">
        <w:t>Figure 2 – Automatically-selected migration region. The genetic algorithm selects the largest circle which contains the least number of masked pixels from the cell area mask. This optimal circle is the migration region.</w:t>
      </w:r>
    </w:p>
    <w:p w14:paraId="0D581C09" w14:textId="77777777" w:rsidR="004B6F97" w:rsidRPr="00D07606" w:rsidRDefault="004B6F97" w:rsidP="00D07606"/>
    <w:p w14:paraId="083834ED" w14:textId="77777777" w:rsidR="004B6F97" w:rsidRDefault="004B6F97" w:rsidP="004B6F97">
      <w:r w:rsidRPr="004B6F97">
        <w:t>Figure 3 – Quantifying cell migration. Representative images (replicate 1) of each condition are shown (top). 10nM of Taxol and the10µg/mL of the H10 peptide show similar levels of migration inhibition compared to the positive and negative controls. Our metric (bottom) allows us to quantify the qualitative results (top).</w:t>
      </w:r>
    </w:p>
    <w:p w14:paraId="6F532FA7" w14:textId="77777777" w:rsidR="009533D1" w:rsidRPr="004B6F97" w:rsidRDefault="009533D1">
      <w:pPr>
        <w:pPrChange w:id="12" w:author="James Barker" w:date="2018-07-18T10:47:00Z">
          <w:pPr>
            <w:spacing w:line="259" w:lineRule="auto"/>
          </w:pPr>
        </w:pPrChange>
      </w:pPr>
    </w:p>
    <w:sectPr w:rsidR="009533D1" w:rsidRPr="004B6F97" w:rsidSect="00D063B4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James Barker" w:date="2018-07-18T10:33:00Z" w:initials="JB">
    <w:p w14:paraId="7A533919" w14:textId="6EF33BFE" w:rsidR="00E84349" w:rsidRDefault="0025765B" w:rsidP="005F243B">
      <w:pPr>
        <w:pStyle w:val="CommentText"/>
        <w:spacing w:before="240"/>
      </w:pPr>
      <w:r>
        <w:rPr>
          <w:rStyle w:val="CommentReference"/>
        </w:rPr>
        <w:annotationRef/>
      </w:r>
      <w:r>
        <w:t>As you have already descr</w:t>
      </w:r>
      <w:r w:rsidR="005F243B">
        <w:softHyphen/>
      </w:r>
      <w:r>
        <w:t>ibed the objectives of your study at the end of your introduction I have removed this section</w:t>
      </w:r>
    </w:p>
  </w:comment>
  <w:comment w:id="1" w:author="Juarez Rosales, Edwin" w:date="2018-07-30T15:06:00Z" w:initials="JRE">
    <w:p w14:paraId="04517FEE" w14:textId="5552DE0B" w:rsidR="00E84349" w:rsidRDefault="00E84349">
      <w:pPr>
        <w:pStyle w:val="CommentText"/>
      </w:pPr>
      <w:r>
        <w:rPr>
          <w:rStyle w:val="CommentReference"/>
        </w:rPr>
        <w:annotationRef/>
      </w:r>
      <w:r>
        <w:t>Noted!</w:t>
      </w:r>
    </w:p>
  </w:comment>
  <w:comment w:id="2" w:author="James Barker" w:date="2018-07-18T10:40:00Z" w:initials="JB">
    <w:p w14:paraId="65C26CF0" w14:textId="77777777" w:rsidR="00D07606" w:rsidRDefault="00D07606" w:rsidP="00D07606">
      <w:pPr>
        <w:pStyle w:val="CommentText"/>
      </w:pPr>
      <w:r>
        <w:rPr>
          <w:rStyle w:val="CommentReference"/>
        </w:rPr>
        <w:annotationRef/>
      </w:r>
      <w:bookmarkStart w:id="3" w:name="_GoBack"/>
      <w:bookmarkEnd w:id="3"/>
      <w:r>
        <w:t>Please provide full methods of where cells were sourced, maintained and prepared for your experiment. Please also provide supplier information and catalogue numbers for all materials used in cell culture.</w:t>
      </w:r>
    </w:p>
    <w:p w14:paraId="6EDA32F0" w14:textId="77777777" w:rsidR="00D07606" w:rsidRDefault="00D07606" w:rsidP="00D07606">
      <w:pPr>
        <w:pStyle w:val="CommentText"/>
      </w:pPr>
    </w:p>
    <w:p w14:paraId="43E115C7" w14:textId="77777777" w:rsidR="00D07606" w:rsidRDefault="00D07606" w:rsidP="00D07606">
      <w:pPr>
        <w:pStyle w:val="CommentText"/>
      </w:pPr>
      <w:r>
        <w:t xml:space="preserve">Please also explain how all treatment media was prepared with supplier and catalogue numbers for the drugs used.  </w:t>
      </w:r>
    </w:p>
  </w:comment>
  <w:comment w:id="4" w:author="James Barker" w:date="2018-07-18T10:37:00Z" w:initials="JB">
    <w:p w14:paraId="2D0D3F0C" w14:textId="77777777" w:rsidR="0025765B" w:rsidRDefault="0025765B">
      <w:pPr>
        <w:pStyle w:val="CommentText"/>
      </w:pPr>
      <w:r>
        <w:rPr>
          <w:rStyle w:val="CommentReference"/>
        </w:rPr>
        <w:annotationRef/>
      </w:r>
      <w:r>
        <w:t>Please provide a catalogue number</w:t>
      </w:r>
    </w:p>
  </w:comment>
  <w:comment w:id="5" w:author="James Barker" w:date="2018-07-18T11:14:00Z" w:initials="JB">
    <w:p w14:paraId="6518DA39" w14:textId="0275B985" w:rsidR="00FD5964" w:rsidRDefault="00FD5964">
      <w:pPr>
        <w:pStyle w:val="CommentText"/>
      </w:pPr>
      <w:r>
        <w:rPr>
          <w:rStyle w:val="CommentReference"/>
        </w:rPr>
        <w:annotationRef/>
      </w:r>
      <w:r>
        <w:t>Please indicate the make and model of the microscope used</w:t>
      </w:r>
    </w:p>
  </w:comment>
  <w:comment w:id="6" w:author="James Barker" w:date="2018-07-18T10:58:00Z" w:initials="JB">
    <w:p w14:paraId="70387B56" w14:textId="77777777" w:rsidR="00D07606" w:rsidRDefault="00D07606">
      <w:pPr>
        <w:pStyle w:val="CommentText"/>
      </w:pPr>
      <w:r>
        <w:rPr>
          <w:rStyle w:val="CommentReference"/>
        </w:rPr>
        <w:annotationRef/>
      </w:r>
      <w:r>
        <w:t>Please complete this section providing a full explanation of how the tool works (the below section can be incorporated) and any technical requirements for implementation of your software tool</w:t>
      </w:r>
    </w:p>
  </w:comment>
  <w:comment w:id="7" w:author="James Barker" w:date="2018-07-18T10:59:00Z" w:initials="JB">
    <w:p w14:paraId="41E07320" w14:textId="7F6BF822" w:rsidR="00D07606" w:rsidRDefault="00D07606">
      <w:pPr>
        <w:pStyle w:val="CommentText"/>
      </w:pPr>
      <w:r>
        <w:rPr>
          <w:rStyle w:val="CommentReference"/>
        </w:rPr>
        <w:annotationRef/>
      </w:r>
      <w:r>
        <w:t xml:space="preserve">Please complete this </w:t>
      </w:r>
      <w:r w:rsidR="00AC1C90">
        <w:t>sub-</w:t>
      </w:r>
      <w:r>
        <w:t>section regarding the minimal system and equipment requirements</w:t>
      </w:r>
    </w:p>
  </w:comment>
  <w:comment w:id="8" w:author="James Barker" w:date="2018-07-18T11:37:00Z" w:initials="JB">
    <w:p w14:paraId="593C3B16" w14:textId="2ACC54BB" w:rsidR="00A41E41" w:rsidRDefault="00A41E41">
      <w:pPr>
        <w:pStyle w:val="CommentText"/>
      </w:pPr>
      <w:r>
        <w:rPr>
          <w:rStyle w:val="CommentReference"/>
        </w:rPr>
        <w:annotationRef/>
      </w:r>
      <w:r>
        <w:t>Please reorder your refs to include the citation of your preprint</w:t>
      </w:r>
    </w:p>
  </w:comment>
  <w:comment w:id="9" w:author="James Barker" w:date="2018-07-18T11:22:00Z" w:initials="JB">
    <w:p w14:paraId="47B09200" w14:textId="69A5CA58" w:rsidR="00AC1C90" w:rsidRDefault="00AC1C90">
      <w:pPr>
        <w:pStyle w:val="CommentText"/>
      </w:pPr>
      <w:r>
        <w:rPr>
          <w:rStyle w:val="CommentReference"/>
        </w:rPr>
        <w:annotationRef/>
      </w:r>
      <w:r>
        <w:t xml:space="preserve">We see that the </w:t>
      </w:r>
      <w:proofErr w:type="spellStart"/>
      <w:r>
        <w:t>github</w:t>
      </w:r>
      <w:proofErr w:type="spellEnd"/>
      <w:r>
        <w:t xml:space="preserve"> repository contains microscope images, can you please confirm that these are raw images that have not been edited or adjusted in anyway</w:t>
      </w:r>
    </w:p>
  </w:comment>
  <w:comment w:id="10" w:author="James Barker" w:date="2018-07-18T11:23:00Z" w:initials="JB">
    <w:p w14:paraId="60715928" w14:textId="105D3E21" w:rsidR="00AC1C90" w:rsidRDefault="00AC1C90">
      <w:pPr>
        <w:pStyle w:val="CommentText"/>
      </w:pPr>
      <w:r>
        <w:rPr>
          <w:rStyle w:val="CommentReference"/>
        </w:rPr>
        <w:annotationRef/>
      </w:r>
      <w:r>
        <w:t>Please add a link to your archived source code and indicate the license under which the software can be used. Please see email</w:t>
      </w:r>
    </w:p>
  </w:comment>
  <w:comment w:id="11" w:author="James Barker" w:date="2018-07-18T11:27:00Z" w:initials="JB">
    <w:p w14:paraId="01C95445" w14:textId="77777777" w:rsidR="00AC1C90" w:rsidRPr="00AC1C90" w:rsidRDefault="00AC1C90" w:rsidP="00AC1C90">
      <w:pPr>
        <w:pStyle w:val="CommentText"/>
        <w:rPr>
          <w:lang w:val="en-GB"/>
        </w:rPr>
      </w:pPr>
      <w:r>
        <w:rPr>
          <w:rStyle w:val="CommentReference"/>
        </w:rPr>
        <w:annotationRef/>
      </w:r>
      <w:r w:rsidRPr="00AC1C90">
        <w:rPr>
          <w:lang w:val="en-GB"/>
        </w:rPr>
        <w:t>Can you please complete this section to address any competing interests. If there are none, please add the statement “No competing interests were disclosed”</w:t>
      </w:r>
    </w:p>
    <w:p w14:paraId="02F30CE7" w14:textId="41429C4F" w:rsidR="00AC1C90" w:rsidRDefault="00AC1C90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A533919" w15:done="1"/>
  <w15:commentEx w15:paraId="04517FEE" w15:paraIdParent="7A533919" w15:done="0"/>
  <w15:commentEx w15:paraId="43E115C7" w15:done="0"/>
  <w15:commentEx w15:paraId="2D0D3F0C" w15:done="0"/>
  <w15:commentEx w15:paraId="6518DA39" w15:done="0"/>
  <w15:commentEx w15:paraId="70387B56" w15:done="0"/>
  <w15:commentEx w15:paraId="41E07320" w15:done="0"/>
  <w15:commentEx w15:paraId="593C3B16" w15:done="0"/>
  <w15:commentEx w15:paraId="47B09200" w15:done="0"/>
  <w15:commentEx w15:paraId="60715928" w15:done="0"/>
  <w15:commentEx w15:paraId="02F30CE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A533919" w16cid:durableId="1F097476"/>
  <w16cid:commentId w16cid:paraId="04517FEE" w16cid:durableId="1F09A7E1"/>
  <w16cid:commentId w16cid:paraId="43E115C7" w16cid:durableId="1F097477"/>
  <w16cid:commentId w16cid:paraId="2D0D3F0C" w16cid:durableId="1F097478"/>
  <w16cid:commentId w16cid:paraId="6518DA39" w16cid:durableId="1F097479"/>
  <w16cid:commentId w16cid:paraId="70387B56" w16cid:durableId="1F09747A"/>
  <w16cid:commentId w16cid:paraId="41E07320" w16cid:durableId="1F09747B"/>
  <w16cid:commentId w16cid:paraId="593C3B16" w16cid:durableId="1F09747C"/>
  <w16cid:commentId w16cid:paraId="47B09200" w16cid:durableId="1F09747D"/>
  <w16cid:commentId w16cid:paraId="60715928" w16cid:durableId="1F09747E"/>
  <w16cid:commentId w16cid:paraId="02F30CE7" w16cid:durableId="1F09747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394B4C" w14:textId="77777777" w:rsidR="002D7566" w:rsidRDefault="002D7566" w:rsidP="00D375C0">
      <w:r>
        <w:separator/>
      </w:r>
    </w:p>
  </w:endnote>
  <w:endnote w:type="continuationSeparator" w:id="0">
    <w:p w14:paraId="15851DB4" w14:textId="77777777" w:rsidR="002D7566" w:rsidRDefault="002D7566" w:rsidP="00D375C0">
      <w:r>
        <w:continuationSeparator/>
      </w:r>
    </w:p>
  </w:endnote>
  <w:endnote w:type="continuationNotice" w:id="1">
    <w:p w14:paraId="2D1D3F87" w14:textId="77777777" w:rsidR="002D7566" w:rsidRDefault="002D756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ource Sans Pro">
    <w:altName w:val="Cambria Math"/>
    <w:panose1 w:val="020B0604020202020204"/>
    <w:charset w:val="00"/>
    <w:family w:val="swiss"/>
    <w:notTrueType/>
    <w:pitch w:val="variable"/>
    <w:sig w:usb0="00000001" w:usb1="02000001" w:usb2="00000000" w:usb3="00000000" w:csb0="0000019F" w:csb1="00000000"/>
  </w:font>
  <w:font w:name="Source Serif Pro">
    <w:altName w:val="Century"/>
    <w:panose1 w:val="020B0604020202020204"/>
    <w:charset w:val="00"/>
    <w:family w:val="roman"/>
    <w:notTrueType/>
    <w:pitch w:val="variable"/>
    <w:sig w:usb0="00000007" w:usb1="00000001" w:usb2="00000000" w:usb3="00000000" w:csb0="00000093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2E04FE" w14:textId="77777777" w:rsidR="002D7566" w:rsidRDefault="002D7566" w:rsidP="00D375C0">
      <w:r>
        <w:separator/>
      </w:r>
    </w:p>
  </w:footnote>
  <w:footnote w:type="continuationSeparator" w:id="0">
    <w:p w14:paraId="1C537363" w14:textId="77777777" w:rsidR="002D7566" w:rsidRDefault="002D7566" w:rsidP="00D375C0">
      <w:r>
        <w:continuationSeparator/>
      </w:r>
    </w:p>
  </w:footnote>
  <w:footnote w:type="continuationNotice" w:id="1">
    <w:p w14:paraId="32118304" w14:textId="77777777" w:rsidR="002D7566" w:rsidRDefault="002D756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8D1068"/>
    <w:multiLevelType w:val="multilevel"/>
    <w:tmpl w:val="10C23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ames Barker">
    <w15:presenceInfo w15:providerId="AD" w15:userId="S-1-5-21-1892611463-1087855060-2394313096-12694"/>
  </w15:person>
  <w15:person w15:author="Juarez Rosales, Edwin">
    <w15:presenceInfo w15:providerId="Windows Live" w15:userId="7bee736a-e14a-466e-9c19-5288d51bd7e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trackRevisions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0&lt;/Enabled&gt;&lt;ScanUnformatted&gt;1&lt;/ScanUnformatted&gt;&lt;ScanChanges&gt;1&lt;/ScanChanges&gt;&lt;Suspended&gt;0&lt;/Suspended&gt;&lt;/ENInstantFormat&gt;"/>
    <w:docVar w:name="EN.Layout" w:val="&lt;ENLayout&gt;&lt;Style&gt;IEEE&lt;/Style&gt;&lt;LeftDelim&gt;{&lt;/LeftDelim&gt;&lt;RightDelim&gt;}&lt;/RightDelim&gt;&lt;FontName&gt;Source Sans Pro&lt;/FontName&gt;&lt;FontSize&gt;11&lt;/FontSize&gt;&lt;ReflistTitle&gt;&lt;style face=&quot;bold underline&quot; font=&quot;Source Serif Pro&quot; size=&quot;12&quot;&gt;References&lt;/sty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/ENLayout&gt;"/>
    <w:docVar w:name="EN.Libraries" w:val="&lt;Libraries&gt;&lt;item db-id=&quot;axe9pdsewpz5wied2vkp2xtmv50fw59xa599&quot;&gt;CellPD_final_references&lt;record-ids&gt;&lt;item&gt;54&lt;/item&gt;&lt;/record-ids&gt;&lt;/item&gt;&lt;/Libraries&gt;"/>
  </w:docVars>
  <w:rsids>
    <w:rsidRoot w:val="00DF13C8"/>
    <w:rsid w:val="000012FF"/>
    <w:rsid w:val="0000158E"/>
    <w:rsid w:val="00004A8B"/>
    <w:rsid w:val="000063FB"/>
    <w:rsid w:val="000129D9"/>
    <w:rsid w:val="000205D3"/>
    <w:rsid w:val="000340E6"/>
    <w:rsid w:val="00045C28"/>
    <w:rsid w:val="000546A0"/>
    <w:rsid w:val="000769A1"/>
    <w:rsid w:val="00092AFA"/>
    <w:rsid w:val="000A41E2"/>
    <w:rsid w:val="000B258E"/>
    <w:rsid w:val="000B27D0"/>
    <w:rsid w:val="000C6652"/>
    <w:rsid w:val="000D3FE6"/>
    <w:rsid w:val="000E25B5"/>
    <w:rsid w:val="000E57CC"/>
    <w:rsid w:val="000E6E57"/>
    <w:rsid w:val="000F17E3"/>
    <w:rsid w:val="000F54CB"/>
    <w:rsid w:val="001023DD"/>
    <w:rsid w:val="00122967"/>
    <w:rsid w:val="0012590F"/>
    <w:rsid w:val="00125E41"/>
    <w:rsid w:val="001377BE"/>
    <w:rsid w:val="001473E8"/>
    <w:rsid w:val="00153856"/>
    <w:rsid w:val="001566DF"/>
    <w:rsid w:val="00162FAD"/>
    <w:rsid w:val="00180A5F"/>
    <w:rsid w:val="00190B4F"/>
    <w:rsid w:val="001C091A"/>
    <w:rsid w:val="001D67E3"/>
    <w:rsid w:val="001E54F2"/>
    <w:rsid w:val="001F591B"/>
    <w:rsid w:val="001F63D6"/>
    <w:rsid w:val="0020404B"/>
    <w:rsid w:val="00204FED"/>
    <w:rsid w:val="00214455"/>
    <w:rsid w:val="00217734"/>
    <w:rsid w:val="002222CE"/>
    <w:rsid w:val="00227B7B"/>
    <w:rsid w:val="00234FEE"/>
    <w:rsid w:val="00243F70"/>
    <w:rsid w:val="00251F20"/>
    <w:rsid w:val="00255B67"/>
    <w:rsid w:val="0025765B"/>
    <w:rsid w:val="00264380"/>
    <w:rsid w:val="00264517"/>
    <w:rsid w:val="002A23E3"/>
    <w:rsid w:val="002A7E04"/>
    <w:rsid w:val="002A7F41"/>
    <w:rsid w:val="002C1EAC"/>
    <w:rsid w:val="002C2158"/>
    <w:rsid w:val="002D3A49"/>
    <w:rsid w:val="002D3E59"/>
    <w:rsid w:val="002D7566"/>
    <w:rsid w:val="002E5973"/>
    <w:rsid w:val="002F1EE3"/>
    <w:rsid w:val="002F237C"/>
    <w:rsid w:val="002F763E"/>
    <w:rsid w:val="00302794"/>
    <w:rsid w:val="00306DF8"/>
    <w:rsid w:val="003148DE"/>
    <w:rsid w:val="0034182D"/>
    <w:rsid w:val="003530EB"/>
    <w:rsid w:val="00355E1E"/>
    <w:rsid w:val="0036161F"/>
    <w:rsid w:val="00361808"/>
    <w:rsid w:val="00364711"/>
    <w:rsid w:val="00366A22"/>
    <w:rsid w:val="00371D09"/>
    <w:rsid w:val="003A0734"/>
    <w:rsid w:val="003A0ABE"/>
    <w:rsid w:val="003A3C4E"/>
    <w:rsid w:val="003A5D40"/>
    <w:rsid w:val="003D47E0"/>
    <w:rsid w:val="003D515A"/>
    <w:rsid w:val="00407867"/>
    <w:rsid w:val="00413708"/>
    <w:rsid w:val="00417F6C"/>
    <w:rsid w:val="004453F5"/>
    <w:rsid w:val="0044567A"/>
    <w:rsid w:val="004466D2"/>
    <w:rsid w:val="00457374"/>
    <w:rsid w:val="00460D1C"/>
    <w:rsid w:val="004642CB"/>
    <w:rsid w:val="0046492A"/>
    <w:rsid w:val="00484213"/>
    <w:rsid w:val="004A2F0B"/>
    <w:rsid w:val="004B6F97"/>
    <w:rsid w:val="004B7FD6"/>
    <w:rsid w:val="004C3FF0"/>
    <w:rsid w:val="004D0654"/>
    <w:rsid w:val="004F72EC"/>
    <w:rsid w:val="00517C2E"/>
    <w:rsid w:val="00532C23"/>
    <w:rsid w:val="00537068"/>
    <w:rsid w:val="0054296E"/>
    <w:rsid w:val="00562BAE"/>
    <w:rsid w:val="00573DA2"/>
    <w:rsid w:val="00580A08"/>
    <w:rsid w:val="0059071A"/>
    <w:rsid w:val="00591D90"/>
    <w:rsid w:val="005B2295"/>
    <w:rsid w:val="005C1F2E"/>
    <w:rsid w:val="005E55F3"/>
    <w:rsid w:val="005F243B"/>
    <w:rsid w:val="00607859"/>
    <w:rsid w:val="00610569"/>
    <w:rsid w:val="00611E3F"/>
    <w:rsid w:val="00624952"/>
    <w:rsid w:val="006320AD"/>
    <w:rsid w:val="006321C0"/>
    <w:rsid w:val="00634989"/>
    <w:rsid w:val="006357EE"/>
    <w:rsid w:val="0067683C"/>
    <w:rsid w:val="006A1D8F"/>
    <w:rsid w:val="006B7582"/>
    <w:rsid w:val="006C2011"/>
    <w:rsid w:val="006E6E64"/>
    <w:rsid w:val="006F5F49"/>
    <w:rsid w:val="00731625"/>
    <w:rsid w:val="00735859"/>
    <w:rsid w:val="007518ED"/>
    <w:rsid w:val="00752245"/>
    <w:rsid w:val="00755F97"/>
    <w:rsid w:val="00762646"/>
    <w:rsid w:val="00762AD5"/>
    <w:rsid w:val="007743FD"/>
    <w:rsid w:val="007777D0"/>
    <w:rsid w:val="00780E7B"/>
    <w:rsid w:val="00794670"/>
    <w:rsid w:val="007A3552"/>
    <w:rsid w:val="007C1391"/>
    <w:rsid w:val="007C54AD"/>
    <w:rsid w:val="007D1263"/>
    <w:rsid w:val="00822D17"/>
    <w:rsid w:val="0082577C"/>
    <w:rsid w:val="008309A7"/>
    <w:rsid w:val="008310B7"/>
    <w:rsid w:val="008321A4"/>
    <w:rsid w:val="00835988"/>
    <w:rsid w:val="008362A9"/>
    <w:rsid w:val="00837560"/>
    <w:rsid w:val="00845E68"/>
    <w:rsid w:val="00881A28"/>
    <w:rsid w:val="00885D9F"/>
    <w:rsid w:val="00890325"/>
    <w:rsid w:val="008A2CE7"/>
    <w:rsid w:val="008B7356"/>
    <w:rsid w:val="008C3809"/>
    <w:rsid w:val="008C4870"/>
    <w:rsid w:val="008D7DA4"/>
    <w:rsid w:val="008E090D"/>
    <w:rsid w:val="008E1B3B"/>
    <w:rsid w:val="008E6838"/>
    <w:rsid w:val="008F7C29"/>
    <w:rsid w:val="00900111"/>
    <w:rsid w:val="00900C42"/>
    <w:rsid w:val="00905325"/>
    <w:rsid w:val="00912D57"/>
    <w:rsid w:val="009229E0"/>
    <w:rsid w:val="00924D26"/>
    <w:rsid w:val="009523AB"/>
    <w:rsid w:val="009533D1"/>
    <w:rsid w:val="00956A27"/>
    <w:rsid w:val="00970C0F"/>
    <w:rsid w:val="00975D1D"/>
    <w:rsid w:val="00977DAF"/>
    <w:rsid w:val="009909AD"/>
    <w:rsid w:val="009967D5"/>
    <w:rsid w:val="00996FFC"/>
    <w:rsid w:val="009B75FA"/>
    <w:rsid w:val="009C6ADE"/>
    <w:rsid w:val="009D333D"/>
    <w:rsid w:val="009D3F67"/>
    <w:rsid w:val="009F07EE"/>
    <w:rsid w:val="00A1558D"/>
    <w:rsid w:val="00A1769A"/>
    <w:rsid w:val="00A33859"/>
    <w:rsid w:val="00A3426F"/>
    <w:rsid w:val="00A34287"/>
    <w:rsid w:val="00A41E41"/>
    <w:rsid w:val="00A43F0E"/>
    <w:rsid w:val="00A4527A"/>
    <w:rsid w:val="00A52718"/>
    <w:rsid w:val="00A6085A"/>
    <w:rsid w:val="00A76770"/>
    <w:rsid w:val="00A85E8A"/>
    <w:rsid w:val="00AA43B9"/>
    <w:rsid w:val="00AA5688"/>
    <w:rsid w:val="00AC1C90"/>
    <w:rsid w:val="00AC2A15"/>
    <w:rsid w:val="00AC3C0E"/>
    <w:rsid w:val="00AC5425"/>
    <w:rsid w:val="00AD063D"/>
    <w:rsid w:val="00AE2887"/>
    <w:rsid w:val="00AE37B8"/>
    <w:rsid w:val="00AE4D60"/>
    <w:rsid w:val="00AE717E"/>
    <w:rsid w:val="00B27E97"/>
    <w:rsid w:val="00B32547"/>
    <w:rsid w:val="00B346B2"/>
    <w:rsid w:val="00B37C74"/>
    <w:rsid w:val="00B426A6"/>
    <w:rsid w:val="00B50797"/>
    <w:rsid w:val="00B576B1"/>
    <w:rsid w:val="00B62A72"/>
    <w:rsid w:val="00B63797"/>
    <w:rsid w:val="00B709CC"/>
    <w:rsid w:val="00B82B0D"/>
    <w:rsid w:val="00BB7423"/>
    <w:rsid w:val="00BB7AD3"/>
    <w:rsid w:val="00BC1957"/>
    <w:rsid w:val="00BC60C1"/>
    <w:rsid w:val="00BC6999"/>
    <w:rsid w:val="00BD4DEC"/>
    <w:rsid w:val="00BE5BB0"/>
    <w:rsid w:val="00BE74B3"/>
    <w:rsid w:val="00BE7940"/>
    <w:rsid w:val="00BF03CD"/>
    <w:rsid w:val="00C3371C"/>
    <w:rsid w:val="00C52CC0"/>
    <w:rsid w:val="00C53105"/>
    <w:rsid w:val="00C7428F"/>
    <w:rsid w:val="00C82690"/>
    <w:rsid w:val="00C835A2"/>
    <w:rsid w:val="00C84FD5"/>
    <w:rsid w:val="00C908A9"/>
    <w:rsid w:val="00C96714"/>
    <w:rsid w:val="00CA28DC"/>
    <w:rsid w:val="00CA5F71"/>
    <w:rsid w:val="00CB504F"/>
    <w:rsid w:val="00CB5444"/>
    <w:rsid w:val="00CC1526"/>
    <w:rsid w:val="00CC1F01"/>
    <w:rsid w:val="00CC41C4"/>
    <w:rsid w:val="00CE04FF"/>
    <w:rsid w:val="00CE2B71"/>
    <w:rsid w:val="00D057D1"/>
    <w:rsid w:val="00D05E05"/>
    <w:rsid w:val="00D063B4"/>
    <w:rsid w:val="00D07606"/>
    <w:rsid w:val="00D07A59"/>
    <w:rsid w:val="00D157C9"/>
    <w:rsid w:val="00D375C0"/>
    <w:rsid w:val="00D555C5"/>
    <w:rsid w:val="00D5618C"/>
    <w:rsid w:val="00D64979"/>
    <w:rsid w:val="00D6624D"/>
    <w:rsid w:val="00D74D51"/>
    <w:rsid w:val="00D80518"/>
    <w:rsid w:val="00D82ADE"/>
    <w:rsid w:val="00D96A91"/>
    <w:rsid w:val="00DB1D89"/>
    <w:rsid w:val="00DB1DF4"/>
    <w:rsid w:val="00DC19F4"/>
    <w:rsid w:val="00DE1088"/>
    <w:rsid w:val="00DF13C8"/>
    <w:rsid w:val="00E02734"/>
    <w:rsid w:val="00E26081"/>
    <w:rsid w:val="00E31D91"/>
    <w:rsid w:val="00E37EF8"/>
    <w:rsid w:val="00E5783A"/>
    <w:rsid w:val="00E628F5"/>
    <w:rsid w:val="00E751F4"/>
    <w:rsid w:val="00E84349"/>
    <w:rsid w:val="00EA112B"/>
    <w:rsid w:val="00EA7AD4"/>
    <w:rsid w:val="00EB56DD"/>
    <w:rsid w:val="00EC3043"/>
    <w:rsid w:val="00ED003C"/>
    <w:rsid w:val="00EE0327"/>
    <w:rsid w:val="00EE07D6"/>
    <w:rsid w:val="00EE1914"/>
    <w:rsid w:val="00EF7152"/>
    <w:rsid w:val="00F0557D"/>
    <w:rsid w:val="00F57E10"/>
    <w:rsid w:val="00F61EB7"/>
    <w:rsid w:val="00F65A0C"/>
    <w:rsid w:val="00F768F7"/>
    <w:rsid w:val="00F84E12"/>
    <w:rsid w:val="00F860FA"/>
    <w:rsid w:val="00F92C02"/>
    <w:rsid w:val="00FC0567"/>
    <w:rsid w:val="00FD5964"/>
    <w:rsid w:val="00FD5C8B"/>
    <w:rsid w:val="00FF53F7"/>
    <w:rsid w:val="00FF5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C9351"/>
  <w15:docId w15:val="{88EAFA84-8ED4-7548-A503-BABE4C425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375C0"/>
    <w:pPr>
      <w:spacing w:after="0" w:line="240" w:lineRule="auto"/>
    </w:pPr>
    <w:rPr>
      <w:rFonts w:ascii="Source Sans Pro" w:hAnsi="Source Sans P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75C0"/>
    <w:pPr>
      <w:jc w:val="center"/>
      <w:outlineLvl w:val="0"/>
    </w:pPr>
    <w:rPr>
      <w:rFonts w:ascii="Source Serif Pro" w:hAnsi="Source Serif Pro"/>
      <w:b/>
      <w:sz w:val="24"/>
      <w:szCs w:val="24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577C"/>
    <w:pPr>
      <w:keepNext/>
      <w:keepLines/>
      <w:spacing w:before="40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75C0"/>
    <w:rPr>
      <w:rFonts w:ascii="Source Serif Pro" w:hAnsi="Source Serif Pro"/>
      <w:b/>
      <w:sz w:val="24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2577C"/>
    <w:rPr>
      <w:rFonts w:ascii="Source Sans Pro" w:hAnsi="Source Sans Pro"/>
      <w:b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C3FF0"/>
    <w:pPr>
      <w:jc w:val="center"/>
    </w:pPr>
    <w:rPr>
      <w:rFonts w:ascii="Source Serif Pro" w:hAnsi="Source Serif Pro"/>
      <w:b/>
    </w:rPr>
  </w:style>
  <w:style w:type="character" w:customStyle="1" w:styleId="TitleChar">
    <w:name w:val="Title Char"/>
    <w:basedOn w:val="DefaultParagraphFont"/>
    <w:link w:val="Title"/>
    <w:uiPriority w:val="10"/>
    <w:rsid w:val="004C3FF0"/>
    <w:rPr>
      <w:rFonts w:ascii="Source Serif Pro" w:hAnsi="Source Serif Pro"/>
      <w:b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3FF0"/>
    <w:pPr>
      <w:jc w:val="center"/>
    </w:pPr>
    <w:rPr>
      <w:rFonts w:ascii="Source Serif Pro" w:hAnsi="Source Serif Pro"/>
    </w:rPr>
  </w:style>
  <w:style w:type="character" w:customStyle="1" w:styleId="SubtitleChar">
    <w:name w:val="Subtitle Char"/>
    <w:basedOn w:val="DefaultParagraphFont"/>
    <w:link w:val="Subtitle"/>
    <w:uiPriority w:val="11"/>
    <w:rsid w:val="004C3FF0"/>
    <w:rPr>
      <w:rFonts w:ascii="Source Serif Pro" w:hAnsi="Source Serif Pro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063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63B4"/>
    <w:rPr>
      <w:rFonts w:ascii="Source Sans Pro" w:hAnsi="Source Sans Pro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063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63B4"/>
    <w:rPr>
      <w:rFonts w:ascii="Source Sans Pro" w:hAnsi="Source Sans Pro"/>
      <w:sz w:val="24"/>
      <w:szCs w:val="24"/>
    </w:rPr>
  </w:style>
  <w:style w:type="paragraph" w:customStyle="1" w:styleId="EndNoteBibliographyTitle">
    <w:name w:val="EndNote Bibliography Title"/>
    <w:basedOn w:val="Normal"/>
    <w:link w:val="EndNoteBibliographyTitleChar"/>
    <w:rsid w:val="00366A22"/>
    <w:pPr>
      <w:jc w:val="center"/>
    </w:pPr>
    <w:rPr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366A22"/>
    <w:rPr>
      <w:rFonts w:ascii="Source Sans Pro" w:hAnsi="Source Sans Pro"/>
      <w:noProof/>
    </w:rPr>
  </w:style>
  <w:style w:type="paragraph" w:customStyle="1" w:styleId="EndNoteBibliography">
    <w:name w:val="EndNote Bibliography"/>
    <w:basedOn w:val="Normal"/>
    <w:link w:val="EndNoteBibliographyChar"/>
    <w:rsid w:val="00366A22"/>
    <w:rPr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366A22"/>
    <w:rPr>
      <w:rFonts w:ascii="Source Sans Pro" w:hAnsi="Source Sans Pro"/>
      <w:noProof/>
    </w:rPr>
  </w:style>
  <w:style w:type="character" w:styleId="PlaceholderText">
    <w:name w:val="Placeholder Text"/>
    <w:basedOn w:val="DefaultParagraphFont"/>
    <w:uiPriority w:val="99"/>
    <w:semiHidden/>
    <w:rsid w:val="009F07EE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634989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0AB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0ABE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43F0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E37B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43F0E"/>
    <w:rPr>
      <w:rFonts w:ascii="Source Sans Pro" w:hAnsi="Source Sans Pro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3F0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3F0E"/>
    <w:rPr>
      <w:rFonts w:ascii="Source Sans Pro" w:hAnsi="Source Sans Pro"/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AA43B9"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unhideWhenUsed/>
    <w:rsid w:val="006357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624952"/>
    <w:pPr>
      <w:spacing w:after="0" w:line="240" w:lineRule="auto"/>
    </w:pPr>
    <w:rPr>
      <w:rFonts w:ascii="Source Sans Pro" w:hAnsi="Source Sans Pro"/>
    </w:rPr>
  </w:style>
  <w:style w:type="paragraph" w:customStyle="1" w:styleId="listp">
    <w:name w:val="listp"/>
    <w:basedOn w:val="Normal"/>
    <w:rsid w:val="00AE37B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71D09"/>
  </w:style>
  <w:style w:type="character" w:styleId="Hyperlink">
    <w:name w:val="Hyperlink"/>
    <w:basedOn w:val="DefaultParagraphFont"/>
    <w:uiPriority w:val="99"/>
    <w:unhideWhenUsed/>
    <w:rsid w:val="008F7C2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F7C29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0760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04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4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s://github.com/edjuaro/cell-migration-quantification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i.org/10.1101/130526" TargetMode="Externa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uk.mathworks.com/products/matlab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i.org/10.1101/130526" TargetMode="Externa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yperlink" Target="https://github.com/edjuaro/cell-migration-quantific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B4D1D96-E548-4543-855B-E7E36977E3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3082</Words>
  <Characters>17574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Edwin Francisco Juárez Rosales</dc:creator>
  <cp:lastModifiedBy>Juarez Rosales, Edwin</cp:lastModifiedBy>
  <cp:revision>2</cp:revision>
  <cp:lastPrinted>2018-07-12T01:25:00Z</cp:lastPrinted>
  <dcterms:created xsi:type="dcterms:W3CDTF">2018-07-30T22:08:00Z</dcterms:created>
  <dcterms:modified xsi:type="dcterms:W3CDTF">2018-07-30T22:08:00Z</dcterms:modified>
</cp:coreProperties>
</file>