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65A2A" w14:textId="77777777" w:rsidR="00A8108B" w:rsidRPr="00A8108B" w:rsidRDefault="00A8108B" w:rsidP="00A8108B">
      <w:pPr>
        <w:rPr>
          <w:rFonts w:ascii="Poppins" w:hAnsi="Poppins" w:cs="Poppins"/>
          <w:b/>
          <w:bCs/>
          <w:color w:val="0F4761" w:themeColor="accent1" w:themeShade="BF"/>
          <w:sz w:val="28"/>
          <w:szCs w:val="28"/>
        </w:rPr>
      </w:pPr>
      <w:r w:rsidRPr="00A8108B">
        <w:rPr>
          <w:rFonts w:ascii="Poppins" w:hAnsi="Poppins" w:cs="Poppins"/>
          <w:b/>
          <w:bCs/>
          <w:color w:val="0F4761" w:themeColor="accent1" w:themeShade="BF"/>
          <w:sz w:val="28"/>
          <w:szCs w:val="28"/>
        </w:rPr>
        <w:t>ACME BANK – PLATINUM CREDIT CARD DIVISION</w:t>
      </w:r>
    </w:p>
    <w:p w14:paraId="066E06AE" w14:textId="77777777" w:rsidR="00A8108B" w:rsidRPr="00A8108B" w:rsidRDefault="00A8108B" w:rsidP="00A8108B">
      <w:pPr>
        <w:rPr>
          <w:rFonts w:ascii="Poppins" w:hAnsi="Poppins" w:cs="Poppins"/>
          <w:color w:val="0F4761" w:themeColor="accent1" w:themeShade="BF"/>
        </w:rPr>
      </w:pPr>
      <w:r w:rsidRPr="00A8108B">
        <w:rPr>
          <w:rFonts w:ascii="Poppins" w:hAnsi="Poppins" w:cs="Poppins"/>
          <w:b/>
          <w:bCs/>
          <w:color w:val="0F4761" w:themeColor="accent1" w:themeShade="BF"/>
        </w:rPr>
        <w:t>2024 Q2 Quarterly Performance Report</w:t>
      </w:r>
      <w:r w:rsidRPr="00A8108B">
        <w:rPr>
          <w:rFonts w:ascii="Poppins" w:hAnsi="Poppins" w:cs="Poppins"/>
          <w:color w:val="0F4761" w:themeColor="accent1" w:themeShade="BF"/>
        </w:rPr>
        <w:br/>
        <w:t>For the Quarter Ended June 30, 2024</w:t>
      </w:r>
    </w:p>
    <w:p w14:paraId="4602F9A2"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7D0EE34F">
          <v:rect id="_x0000_i1038" alt="" style="width:468pt;height:.05pt;mso-width-percent:0;mso-height-percent:0;mso-width-percent:0;mso-height-percent:0" o:hralign="center" o:hrstd="t" o:hr="t" fillcolor="#a0a0a0" stroked="f"/>
        </w:pict>
      </w:r>
    </w:p>
    <w:p w14:paraId="7B2F8D12" w14:textId="77777777" w:rsidR="00A8108B" w:rsidRPr="00A8108B" w:rsidRDefault="00A8108B" w:rsidP="00A8108B">
      <w:pPr>
        <w:rPr>
          <w:rFonts w:ascii="Poppins" w:hAnsi="Poppins" w:cs="Poppins"/>
          <w:b/>
          <w:bCs/>
        </w:rPr>
      </w:pPr>
      <w:r w:rsidRPr="00A8108B">
        <w:rPr>
          <w:rFonts w:ascii="Poppins" w:hAnsi="Poppins" w:cs="Poppins"/>
          <w:b/>
          <w:bCs/>
        </w:rPr>
        <w:t>Table of Contents</w:t>
      </w:r>
    </w:p>
    <w:tbl>
      <w:tblPr>
        <w:tblStyle w:val="TableGrid"/>
        <w:tblW w:w="0" w:type="auto"/>
        <w:tblLook w:val="04A0" w:firstRow="1" w:lastRow="0" w:firstColumn="1" w:lastColumn="0" w:noHBand="0" w:noVBand="1"/>
      </w:tblPr>
      <w:tblGrid>
        <w:gridCol w:w="2630"/>
        <w:gridCol w:w="5932"/>
        <w:gridCol w:w="788"/>
      </w:tblGrid>
      <w:tr w:rsidR="00A8108B" w:rsidRPr="00A8108B" w14:paraId="720D65A8" w14:textId="77777777" w:rsidTr="00A8108B">
        <w:tc>
          <w:tcPr>
            <w:tcW w:w="0" w:type="auto"/>
            <w:hideMark/>
          </w:tcPr>
          <w:p w14:paraId="6A43E7D8"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Part</w:t>
            </w:r>
          </w:p>
        </w:tc>
        <w:tc>
          <w:tcPr>
            <w:tcW w:w="0" w:type="auto"/>
            <w:hideMark/>
          </w:tcPr>
          <w:p w14:paraId="4A22307F"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Section</w:t>
            </w:r>
          </w:p>
        </w:tc>
        <w:tc>
          <w:tcPr>
            <w:tcW w:w="0" w:type="auto"/>
            <w:hideMark/>
          </w:tcPr>
          <w:p w14:paraId="1CAB489D" w14:textId="77777777" w:rsidR="00A8108B" w:rsidRPr="00A8108B" w:rsidRDefault="00A8108B" w:rsidP="00A8108B">
            <w:pPr>
              <w:jc w:val="center"/>
              <w:rPr>
                <w:rFonts w:ascii="Poppins" w:hAnsi="Poppins" w:cs="Poppins"/>
                <w:b/>
                <w:bCs/>
                <w:sz w:val="22"/>
                <w:szCs w:val="22"/>
              </w:rPr>
            </w:pPr>
            <w:r w:rsidRPr="00A8108B">
              <w:rPr>
                <w:rFonts w:ascii="Poppins" w:hAnsi="Poppins" w:cs="Poppins"/>
                <w:b/>
                <w:bCs/>
                <w:sz w:val="22"/>
                <w:szCs w:val="22"/>
              </w:rPr>
              <w:t>Page</w:t>
            </w:r>
          </w:p>
        </w:tc>
      </w:tr>
      <w:tr w:rsidR="00A8108B" w:rsidRPr="00A8108B" w14:paraId="1027C626" w14:textId="77777777" w:rsidTr="00A8108B">
        <w:tc>
          <w:tcPr>
            <w:tcW w:w="0" w:type="auto"/>
            <w:hideMark/>
          </w:tcPr>
          <w:p w14:paraId="0701C7D5"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PART I. FINANCIAL INFORMATION</w:t>
            </w:r>
          </w:p>
        </w:tc>
        <w:tc>
          <w:tcPr>
            <w:tcW w:w="0" w:type="auto"/>
            <w:hideMark/>
          </w:tcPr>
          <w:p w14:paraId="6A5BFC23" w14:textId="77777777" w:rsidR="00A8108B" w:rsidRPr="00A8108B" w:rsidRDefault="00A8108B" w:rsidP="00A8108B">
            <w:pPr>
              <w:rPr>
                <w:rFonts w:ascii="Poppins" w:hAnsi="Poppins" w:cs="Poppins"/>
                <w:sz w:val="22"/>
                <w:szCs w:val="22"/>
              </w:rPr>
            </w:pPr>
          </w:p>
        </w:tc>
        <w:tc>
          <w:tcPr>
            <w:tcW w:w="0" w:type="auto"/>
            <w:hideMark/>
          </w:tcPr>
          <w:p w14:paraId="65E4A8AC" w14:textId="7E0D7A54" w:rsidR="00A8108B" w:rsidRPr="00A8108B" w:rsidRDefault="00A8108B" w:rsidP="00A8108B">
            <w:pPr>
              <w:jc w:val="center"/>
              <w:rPr>
                <w:rFonts w:ascii="Poppins" w:hAnsi="Poppins" w:cs="Poppins"/>
                <w:sz w:val="22"/>
                <w:szCs w:val="22"/>
              </w:rPr>
            </w:pPr>
            <w:r>
              <w:rPr>
                <w:rFonts w:ascii="Poppins" w:hAnsi="Poppins" w:cs="Poppins"/>
                <w:sz w:val="22"/>
                <w:szCs w:val="22"/>
              </w:rPr>
              <w:t>2</w:t>
            </w:r>
          </w:p>
        </w:tc>
      </w:tr>
      <w:tr w:rsidR="00A8108B" w:rsidRPr="00A8108B" w14:paraId="0F5CF453" w14:textId="77777777" w:rsidTr="00A8108B">
        <w:tc>
          <w:tcPr>
            <w:tcW w:w="0" w:type="auto"/>
            <w:hideMark/>
          </w:tcPr>
          <w:p w14:paraId="60E9565A"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1.</w:t>
            </w:r>
          </w:p>
        </w:tc>
        <w:tc>
          <w:tcPr>
            <w:tcW w:w="0" w:type="auto"/>
            <w:hideMark/>
          </w:tcPr>
          <w:p w14:paraId="72A29D86"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Financial Statements</w:t>
            </w:r>
          </w:p>
        </w:tc>
        <w:tc>
          <w:tcPr>
            <w:tcW w:w="0" w:type="auto"/>
            <w:hideMark/>
          </w:tcPr>
          <w:p w14:paraId="63820DEC" w14:textId="661AF36E" w:rsidR="00A8108B" w:rsidRPr="00A8108B" w:rsidRDefault="00A8108B" w:rsidP="00A8108B">
            <w:pPr>
              <w:jc w:val="center"/>
              <w:rPr>
                <w:rFonts w:ascii="Poppins" w:hAnsi="Poppins" w:cs="Poppins"/>
                <w:sz w:val="22"/>
                <w:szCs w:val="22"/>
              </w:rPr>
            </w:pPr>
            <w:r>
              <w:rPr>
                <w:rFonts w:ascii="Poppins" w:hAnsi="Poppins" w:cs="Poppins"/>
                <w:sz w:val="22"/>
                <w:szCs w:val="22"/>
              </w:rPr>
              <w:t>2</w:t>
            </w:r>
          </w:p>
        </w:tc>
      </w:tr>
      <w:tr w:rsidR="00A8108B" w:rsidRPr="00A8108B" w14:paraId="7F4CCC07" w14:textId="77777777" w:rsidTr="00A8108B">
        <w:tc>
          <w:tcPr>
            <w:tcW w:w="0" w:type="auto"/>
            <w:hideMark/>
          </w:tcPr>
          <w:p w14:paraId="7C15C29B" w14:textId="77777777" w:rsidR="00A8108B" w:rsidRPr="00A8108B" w:rsidRDefault="00A8108B" w:rsidP="00A8108B">
            <w:pPr>
              <w:rPr>
                <w:rFonts w:ascii="Poppins" w:hAnsi="Poppins" w:cs="Poppins"/>
                <w:sz w:val="22"/>
                <w:szCs w:val="22"/>
              </w:rPr>
            </w:pPr>
          </w:p>
        </w:tc>
        <w:tc>
          <w:tcPr>
            <w:tcW w:w="0" w:type="auto"/>
            <w:hideMark/>
          </w:tcPr>
          <w:p w14:paraId="69D7A5D3"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Consolidated Statements of Cash Flows</w:t>
            </w:r>
          </w:p>
        </w:tc>
        <w:tc>
          <w:tcPr>
            <w:tcW w:w="0" w:type="auto"/>
            <w:hideMark/>
          </w:tcPr>
          <w:p w14:paraId="110170B0" w14:textId="32F9BA06" w:rsidR="00A8108B" w:rsidRPr="00A8108B" w:rsidRDefault="00A8108B" w:rsidP="00A8108B">
            <w:pPr>
              <w:jc w:val="center"/>
              <w:rPr>
                <w:rFonts w:ascii="Poppins" w:hAnsi="Poppins" w:cs="Poppins"/>
                <w:sz w:val="22"/>
                <w:szCs w:val="22"/>
              </w:rPr>
            </w:pPr>
            <w:r>
              <w:rPr>
                <w:rFonts w:ascii="Poppins" w:hAnsi="Poppins" w:cs="Poppins"/>
                <w:sz w:val="22"/>
                <w:szCs w:val="22"/>
              </w:rPr>
              <w:t>2</w:t>
            </w:r>
          </w:p>
        </w:tc>
      </w:tr>
      <w:tr w:rsidR="00A8108B" w:rsidRPr="00A8108B" w14:paraId="6B66A78F" w14:textId="77777777" w:rsidTr="00A8108B">
        <w:tc>
          <w:tcPr>
            <w:tcW w:w="0" w:type="auto"/>
            <w:hideMark/>
          </w:tcPr>
          <w:p w14:paraId="403C1C4F" w14:textId="77777777" w:rsidR="00A8108B" w:rsidRPr="00A8108B" w:rsidRDefault="00A8108B" w:rsidP="00A8108B">
            <w:pPr>
              <w:rPr>
                <w:rFonts w:ascii="Poppins" w:hAnsi="Poppins" w:cs="Poppins"/>
                <w:sz w:val="22"/>
                <w:szCs w:val="22"/>
              </w:rPr>
            </w:pPr>
          </w:p>
        </w:tc>
        <w:tc>
          <w:tcPr>
            <w:tcW w:w="0" w:type="auto"/>
            <w:hideMark/>
          </w:tcPr>
          <w:p w14:paraId="5D16CE9A"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Consolidated Statements of Operations</w:t>
            </w:r>
          </w:p>
        </w:tc>
        <w:tc>
          <w:tcPr>
            <w:tcW w:w="0" w:type="auto"/>
            <w:hideMark/>
          </w:tcPr>
          <w:p w14:paraId="4F00C3DC" w14:textId="316243B5" w:rsidR="00A8108B" w:rsidRPr="00A8108B" w:rsidRDefault="00A8108B" w:rsidP="00A8108B">
            <w:pPr>
              <w:jc w:val="center"/>
              <w:rPr>
                <w:rFonts w:ascii="Poppins" w:hAnsi="Poppins" w:cs="Poppins"/>
                <w:sz w:val="22"/>
                <w:szCs w:val="22"/>
              </w:rPr>
            </w:pPr>
            <w:r>
              <w:rPr>
                <w:rFonts w:ascii="Poppins" w:hAnsi="Poppins" w:cs="Poppins"/>
                <w:sz w:val="22"/>
                <w:szCs w:val="22"/>
              </w:rPr>
              <w:t>2</w:t>
            </w:r>
          </w:p>
        </w:tc>
      </w:tr>
      <w:tr w:rsidR="00A8108B" w:rsidRPr="00A8108B" w14:paraId="74DD14FD" w14:textId="77777777" w:rsidTr="00A8108B">
        <w:tc>
          <w:tcPr>
            <w:tcW w:w="0" w:type="auto"/>
            <w:hideMark/>
          </w:tcPr>
          <w:p w14:paraId="5C371494" w14:textId="77777777" w:rsidR="00A8108B" w:rsidRPr="00A8108B" w:rsidRDefault="00A8108B" w:rsidP="00A8108B">
            <w:pPr>
              <w:rPr>
                <w:rFonts w:ascii="Poppins" w:hAnsi="Poppins" w:cs="Poppins"/>
                <w:sz w:val="22"/>
                <w:szCs w:val="22"/>
              </w:rPr>
            </w:pPr>
          </w:p>
        </w:tc>
        <w:tc>
          <w:tcPr>
            <w:tcW w:w="0" w:type="auto"/>
            <w:hideMark/>
          </w:tcPr>
          <w:p w14:paraId="481D66BB"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Consolidated Statements of Comprehensive Income</w:t>
            </w:r>
          </w:p>
        </w:tc>
        <w:tc>
          <w:tcPr>
            <w:tcW w:w="0" w:type="auto"/>
            <w:hideMark/>
          </w:tcPr>
          <w:p w14:paraId="2AFADC2B" w14:textId="21CC5431" w:rsidR="00A8108B" w:rsidRPr="00A8108B" w:rsidRDefault="00A8108B" w:rsidP="00A8108B">
            <w:pPr>
              <w:jc w:val="center"/>
              <w:rPr>
                <w:rFonts w:ascii="Poppins" w:hAnsi="Poppins" w:cs="Poppins"/>
                <w:sz w:val="22"/>
                <w:szCs w:val="22"/>
              </w:rPr>
            </w:pPr>
            <w:r>
              <w:rPr>
                <w:rFonts w:ascii="Poppins" w:hAnsi="Poppins" w:cs="Poppins"/>
                <w:sz w:val="22"/>
                <w:szCs w:val="22"/>
              </w:rPr>
              <w:t>2</w:t>
            </w:r>
          </w:p>
        </w:tc>
      </w:tr>
      <w:tr w:rsidR="00A8108B" w:rsidRPr="00A8108B" w14:paraId="5AFC124B" w14:textId="77777777" w:rsidTr="00A8108B">
        <w:tc>
          <w:tcPr>
            <w:tcW w:w="0" w:type="auto"/>
            <w:hideMark/>
          </w:tcPr>
          <w:p w14:paraId="607B3707" w14:textId="77777777" w:rsidR="00A8108B" w:rsidRPr="00A8108B" w:rsidRDefault="00A8108B" w:rsidP="00A8108B">
            <w:pPr>
              <w:rPr>
                <w:rFonts w:ascii="Poppins" w:hAnsi="Poppins" w:cs="Poppins"/>
                <w:sz w:val="22"/>
                <w:szCs w:val="22"/>
              </w:rPr>
            </w:pPr>
          </w:p>
        </w:tc>
        <w:tc>
          <w:tcPr>
            <w:tcW w:w="0" w:type="auto"/>
            <w:hideMark/>
          </w:tcPr>
          <w:p w14:paraId="71FAF0D1"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Consolidated Balance Sheets</w:t>
            </w:r>
          </w:p>
        </w:tc>
        <w:tc>
          <w:tcPr>
            <w:tcW w:w="0" w:type="auto"/>
            <w:hideMark/>
          </w:tcPr>
          <w:p w14:paraId="42F563A2" w14:textId="36C6A2AF" w:rsidR="00A8108B" w:rsidRPr="00A8108B" w:rsidRDefault="00A8108B" w:rsidP="00A8108B">
            <w:pPr>
              <w:jc w:val="center"/>
              <w:rPr>
                <w:rFonts w:ascii="Poppins" w:hAnsi="Poppins" w:cs="Poppins"/>
                <w:sz w:val="22"/>
                <w:szCs w:val="22"/>
              </w:rPr>
            </w:pPr>
            <w:r>
              <w:rPr>
                <w:rFonts w:ascii="Poppins" w:hAnsi="Poppins" w:cs="Poppins"/>
                <w:sz w:val="22"/>
                <w:szCs w:val="22"/>
              </w:rPr>
              <w:t>2</w:t>
            </w:r>
          </w:p>
        </w:tc>
      </w:tr>
      <w:tr w:rsidR="00A8108B" w:rsidRPr="00A8108B" w14:paraId="5F0F4AA2" w14:textId="77777777" w:rsidTr="00A8108B">
        <w:tc>
          <w:tcPr>
            <w:tcW w:w="0" w:type="auto"/>
            <w:hideMark/>
          </w:tcPr>
          <w:p w14:paraId="1356BC4A" w14:textId="77777777" w:rsidR="00A8108B" w:rsidRPr="00A8108B" w:rsidRDefault="00A8108B" w:rsidP="00A8108B">
            <w:pPr>
              <w:rPr>
                <w:rFonts w:ascii="Poppins" w:hAnsi="Poppins" w:cs="Poppins"/>
                <w:sz w:val="22"/>
                <w:szCs w:val="22"/>
              </w:rPr>
            </w:pPr>
          </w:p>
        </w:tc>
        <w:tc>
          <w:tcPr>
            <w:tcW w:w="0" w:type="auto"/>
            <w:hideMark/>
          </w:tcPr>
          <w:p w14:paraId="01820BB9"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Notes to Consolidated Financial Statements</w:t>
            </w:r>
          </w:p>
        </w:tc>
        <w:tc>
          <w:tcPr>
            <w:tcW w:w="0" w:type="auto"/>
            <w:hideMark/>
          </w:tcPr>
          <w:p w14:paraId="75086B74" w14:textId="7D5BE6F7" w:rsidR="00A8108B" w:rsidRPr="00A8108B" w:rsidRDefault="00A8108B" w:rsidP="00A8108B">
            <w:pPr>
              <w:jc w:val="center"/>
              <w:rPr>
                <w:rFonts w:ascii="Poppins" w:hAnsi="Poppins" w:cs="Poppins"/>
                <w:sz w:val="22"/>
                <w:szCs w:val="22"/>
              </w:rPr>
            </w:pPr>
            <w:r>
              <w:rPr>
                <w:rFonts w:ascii="Poppins" w:hAnsi="Poppins" w:cs="Poppins"/>
                <w:sz w:val="22"/>
                <w:szCs w:val="22"/>
              </w:rPr>
              <w:t>2</w:t>
            </w:r>
          </w:p>
        </w:tc>
      </w:tr>
      <w:tr w:rsidR="00A8108B" w:rsidRPr="00A8108B" w14:paraId="24975053" w14:textId="77777777" w:rsidTr="00A8108B">
        <w:tc>
          <w:tcPr>
            <w:tcW w:w="0" w:type="auto"/>
            <w:hideMark/>
          </w:tcPr>
          <w:p w14:paraId="68AF1A11"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2.</w:t>
            </w:r>
          </w:p>
        </w:tc>
        <w:tc>
          <w:tcPr>
            <w:tcW w:w="0" w:type="auto"/>
            <w:hideMark/>
          </w:tcPr>
          <w:p w14:paraId="2087E9A0"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Management’s Discussion and Analysis of Financial Condition and Results of Operations</w:t>
            </w:r>
          </w:p>
        </w:tc>
        <w:tc>
          <w:tcPr>
            <w:tcW w:w="0" w:type="auto"/>
            <w:hideMark/>
          </w:tcPr>
          <w:p w14:paraId="191A64BC" w14:textId="49B8984D" w:rsidR="00A8108B" w:rsidRPr="00A8108B" w:rsidRDefault="00A8108B" w:rsidP="00A8108B">
            <w:pPr>
              <w:jc w:val="center"/>
              <w:rPr>
                <w:rFonts w:ascii="Poppins" w:hAnsi="Poppins" w:cs="Poppins"/>
                <w:sz w:val="22"/>
                <w:szCs w:val="22"/>
              </w:rPr>
            </w:pPr>
            <w:r>
              <w:rPr>
                <w:rFonts w:ascii="Poppins" w:hAnsi="Poppins" w:cs="Poppins"/>
                <w:sz w:val="22"/>
                <w:szCs w:val="22"/>
              </w:rPr>
              <w:t>3</w:t>
            </w:r>
          </w:p>
        </w:tc>
      </w:tr>
      <w:tr w:rsidR="00A8108B" w:rsidRPr="00A8108B" w14:paraId="1EBAC4F0" w14:textId="77777777" w:rsidTr="00A8108B">
        <w:tc>
          <w:tcPr>
            <w:tcW w:w="0" w:type="auto"/>
            <w:hideMark/>
          </w:tcPr>
          <w:p w14:paraId="5BF13354"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3.</w:t>
            </w:r>
          </w:p>
        </w:tc>
        <w:tc>
          <w:tcPr>
            <w:tcW w:w="0" w:type="auto"/>
            <w:hideMark/>
          </w:tcPr>
          <w:p w14:paraId="4F4AF9AD"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Quantitative and Qualitative Disclosures About Market Risk</w:t>
            </w:r>
          </w:p>
        </w:tc>
        <w:tc>
          <w:tcPr>
            <w:tcW w:w="0" w:type="auto"/>
            <w:hideMark/>
          </w:tcPr>
          <w:p w14:paraId="0A594BBA" w14:textId="49B7A481" w:rsidR="00A8108B" w:rsidRPr="00A8108B" w:rsidRDefault="00A8108B" w:rsidP="00A8108B">
            <w:pPr>
              <w:jc w:val="center"/>
              <w:rPr>
                <w:rFonts w:ascii="Poppins" w:hAnsi="Poppins" w:cs="Poppins"/>
                <w:sz w:val="22"/>
                <w:szCs w:val="22"/>
              </w:rPr>
            </w:pPr>
            <w:r>
              <w:rPr>
                <w:rFonts w:ascii="Poppins" w:hAnsi="Poppins" w:cs="Poppins"/>
                <w:sz w:val="22"/>
                <w:szCs w:val="22"/>
              </w:rPr>
              <w:t>3</w:t>
            </w:r>
          </w:p>
        </w:tc>
      </w:tr>
      <w:tr w:rsidR="00A8108B" w:rsidRPr="00A8108B" w14:paraId="40E964FF" w14:textId="77777777" w:rsidTr="00A8108B">
        <w:tc>
          <w:tcPr>
            <w:tcW w:w="0" w:type="auto"/>
            <w:hideMark/>
          </w:tcPr>
          <w:p w14:paraId="7E21DEA9"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4.</w:t>
            </w:r>
          </w:p>
        </w:tc>
        <w:tc>
          <w:tcPr>
            <w:tcW w:w="0" w:type="auto"/>
            <w:hideMark/>
          </w:tcPr>
          <w:p w14:paraId="7467F16D"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Controls and Procedures</w:t>
            </w:r>
          </w:p>
        </w:tc>
        <w:tc>
          <w:tcPr>
            <w:tcW w:w="0" w:type="auto"/>
            <w:hideMark/>
          </w:tcPr>
          <w:p w14:paraId="52A5E259" w14:textId="252EBD3C" w:rsidR="00A8108B" w:rsidRPr="00A8108B" w:rsidRDefault="00A8108B" w:rsidP="00A8108B">
            <w:pPr>
              <w:jc w:val="center"/>
              <w:rPr>
                <w:rFonts w:ascii="Poppins" w:hAnsi="Poppins" w:cs="Poppins"/>
                <w:sz w:val="22"/>
                <w:szCs w:val="22"/>
              </w:rPr>
            </w:pPr>
            <w:r>
              <w:rPr>
                <w:rFonts w:ascii="Poppins" w:hAnsi="Poppins" w:cs="Poppins"/>
                <w:sz w:val="22"/>
                <w:szCs w:val="22"/>
              </w:rPr>
              <w:t>4</w:t>
            </w:r>
          </w:p>
        </w:tc>
      </w:tr>
      <w:tr w:rsidR="00A8108B" w:rsidRPr="00A8108B" w14:paraId="3C0EBEB9" w14:textId="77777777" w:rsidTr="00A8108B">
        <w:tc>
          <w:tcPr>
            <w:tcW w:w="0" w:type="auto"/>
            <w:hideMark/>
          </w:tcPr>
          <w:p w14:paraId="54D45D5B"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PART II. OTHER INFORMATION</w:t>
            </w:r>
          </w:p>
        </w:tc>
        <w:tc>
          <w:tcPr>
            <w:tcW w:w="0" w:type="auto"/>
            <w:hideMark/>
          </w:tcPr>
          <w:p w14:paraId="720E5A46" w14:textId="77777777" w:rsidR="00A8108B" w:rsidRPr="00A8108B" w:rsidRDefault="00A8108B" w:rsidP="00A8108B">
            <w:pPr>
              <w:rPr>
                <w:rFonts w:ascii="Poppins" w:hAnsi="Poppins" w:cs="Poppins"/>
                <w:sz w:val="22"/>
                <w:szCs w:val="22"/>
              </w:rPr>
            </w:pPr>
          </w:p>
        </w:tc>
        <w:tc>
          <w:tcPr>
            <w:tcW w:w="0" w:type="auto"/>
            <w:hideMark/>
          </w:tcPr>
          <w:p w14:paraId="2BAA370D" w14:textId="0D1E6E82" w:rsidR="00A8108B" w:rsidRPr="00A8108B" w:rsidRDefault="00A8108B" w:rsidP="00A8108B">
            <w:pPr>
              <w:jc w:val="center"/>
              <w:rPr>
                <w:rFonts w:ascii="Poppins" w:hAnsi="Poppins" w:cs="Poppins"/>
                <w:sz w:val="22"/>
                <w:szCs w:val="22"/>
              </w:rPr>
            </w:pPr>
            <w:r>
              <w:rPr>
                <w:rFonts w:ascii="Poppins" w:hAnsi="Poppins" w:cs="Poppins"/>
                <w:sz w:val="22"/>
                <w:szCs w:val="22"/>
              </w:rPr>
              <w:t>5</w:t>
            </w:r>
          </w:p>
        </w:tc>
      </w:tr>
      <w:tr w:rsidR="00A8108B" w:rsidRPr="00A8108B" w14:paraId="468CE5B8" w14:textId="77777777" w:rsidTr="00A8108B">
        <w:tc>
          <w:tcPr>
            <w:tcW w:w="0" w:type="auto"/>
            <w:hideMark/>
          </w:tcPr>
          <w:p w14:paraId="1CB7803F"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1.</w:t>
            </w:r>
          </w:p>
        </w:tc>
        <w:tc>
          <w:tcPr>
            <w:tcW w:w="0" w:type="auto"/>
            <w:hideMark/>
          </w:tcPr>
          <w:p w14:paraId="46BFBDD7"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Legal Proceedings</w:t>
            </w:r>
          </w:p>
        </w:tc>
        <w:tc>
          <w:tcPr>
            <w:tcW w:w="0" w:type="auto"/>
            <w:hideMark/>
          </w:tcPr>
          <w:p w14:paraId="44E2A97C" w14:textId="63821E2F" w:rsidR="00A8108B" w:rsidRPr="00A8108B" w:rsidRDefault="00A8108B" w:rsidP="00A8108B">
            <w:pPr>
              <w:jc w:val="center"/>
              <w:rPr>
                <w:rFonts w:ascii="Poppins" w:hAnsi="Poppins" w:cs="Poppins"/>
                <w:sz w:val="22"/>
                <w:szCs w:val="22"/>
              </w:rPr>
            </w:pPr>
            <w:r>
              <w:rPr>
                <w:rFonts w:ascii="Poppins" w:hAnsi="Poppins" w:cs="Poppins"/>
                <w:sz w:val="22"/>
                <w:szCs w:val="22"/>
              </w:rPr>
              <w:t>5</w:t>
            </w:r>
          </w:p>
        </w:tc>
      </w:tr>
      <w:tr w:rsidR="00A8108B" w:rsidRPr="00A8108B" w14:paraId="41F5D9D8" w14:textId="77777777" w:rsidTr="00A8108B">
        <w:tc>
          <w:tcPr>
            <w:tcW w:w="0" w:type="auto"/>
            <w:hideMark/>
          </w:tcPr>
          <w:p w14:paraId="26559E5C"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1A.</w:t>
            </w:r>
          </w:p>
        </w:tc>
        <w:tc>
          <w:tcPr>
            <w:tcW w:w="0" w:type="auto"/>
            <w:hideMark/>
          </w:tcPr>
          <w:p w14:paraId="3DA8F315"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Risk Factors</w:t>
            </w:r>
          </w:p>
        </w:tc>
        <w:tc>
          <w:tcPr>
            <w:tcW w:w="0" w:type="auto"/>
            <w:hideMark/>
          </w:tcPr>
          <w:p w14:paraId="1582474C" w14:textId="11CCCA51" w:rsidR="00A8108B" w:rsidRPr="00A8108B" w:rsidRDefault="00A8108B" w:rsidP="00A8108B">
            <w:pPr>
              <w:jc w:val="center"/>
              <w:rPr>
                <w:rFonts w:ascii="Poppins" w:hAnsi="Poppins" w:cs="Poppins"/>
                <w:sz w:val="22"/>
                <w:szCs w:val="22"/>
              </w:rPr>
            </w:pPr>
            <w:r>
              <w:rPr>
                <w:rFonts w:ascii="Poppins" w:hAnsi="Poppins" w:cs="Poppins"/>
                <w:sz w:val="22"/>
                <w:szCs w:val="22"/>
              </w:rPr>
              <w:t>5</w:t>
            </w:r>
          </w:p>
        </w:tc>
      </w:tr>
      <w:tr w:rsidR="00A8108B" w:rsidRPr="00A8108B" w14:paraId="6CAC3211" w14:textId="77777777" w:rsidTr="00A8108B">
        <w:tc>
          <w:tcPr>
            <w:tcW w:w="0" w:type="auto"/>
            <w:hideMark/>
          </w:tcPr>
          <w:p w14:paraId="0FB305E5"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2.</w:t>
            </w:r>
          </w:p>
        </w:tc>
        <w:tc>
          <w:tcPr>
            <w:tcW w:w="0" w:type="auto"/>
            <w:hideMark/>
          </w:tcPr>
          <w:p w14:paraId="61F5CE2C"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Unregistered Sales of Equity Securities and Use of Proceeds</w:t>
            </w:r>
          </w:p>
        </w:tc>
        <w:tc>
          <w:tcPr>
            <w:tcW w:w="0" w:type="auto"/>
            <w:hideMark/>
          </w:tcPr>
          <w:p w14:paraId="2DF35FBA" w14:textId="3D17FA47" w:rsidR="00A8108B" w:rsidRPr="00A8108B" w:rsidRDefault="00A8108B" w:rsidP="00A8108B">
            <w:pPr>
              <w:jc w:val="center"/>
              <w:rPr>
                <w:rFonts w:ascii="Poppins" w:hAnsi="Poppins" w:cs="Poppins"/>
                <w:sz w:val="22"/>
                <w:szCs w:val="22"/>
              </w:rPr>
            </w:pPr>
            <w:r>
              <w:rPr>
                <w:rFonts w:ascii="Poppins" w:hAnsi="Poppins" w:cs="Poppins"/>
                <w:sz w:val="22"/>
                <w:szCs w:val="22"/>
              </w:rPr>
              <w:t>5</w:t>
            </w:r>
          </w:p>
        </w:tc>
      </w:tr>
      <w:tr w:rsidR="00A8108B" w:rsidRPr="00A8108B" w14:paraId="2C2BC680" w14:textId="77777777" w:rsidTr="00A8108B">
        <w:tc>
          <w:tcPr>
            <w:tcW w:w="0" w:type="auto"/>
            <w:hideMark/>
          </w:tcPr>
          <w:p w14:paraId="2509ABAA"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3.</w:t>
            </w:r>
          </w:p>
        </w:tc>
        <w:tc>
          <w:tcPr>
            <w:tcW w:w="0" w:type="auto"/>
            <w:hideMark/>
          </w:tcPr>
          <w:p w14:paraId="7F0B6B66"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Defaults Upon Senior Securities</w:t>
            </w:r>
          </w:p>
        </w:tc>
        <w:tc>
          <w:tcPr>
            <w:tcW w:w="0" w:type="auto"/>
            <w:hideMark/>
          </w:tcPr>
          <w:p w14:paraId="742435AB" w14:textId="1B6642A8" w:rsidR="00A8108B" w:rsidRPr="00A8108B" w:rsidRDefault="00A8108B" w:rsidP="00A8108B">
            <w:pPr>
              <w:jc w:val="center"/>
              <w:rPr>
                <w:rFonts w:ascii="Poppins" w:hAnsi="Poppins" w:cs="Poppins"/>
                <w:sz w:val="22"/>
                <w:szCs w:val="22"/>
              </w:rPr>
            </w:pPr>
            <w:r>
              <w:rPr>
                <w:rFonts w:ascii="Poppins" w:hAnsi="Poppins" w:cs="Poppins"/>
                <w:sz w:val="22"/>
                <w:szCs w:val="22"/>
              </w:rPr>
              <w:t>5</w:t>
            </w:r>
          </w:p>
        </w:tc>
      </w:tr>
      <w:tr w:rsidR="00A8108B" w:rsidRPr="00A8108B" w14:paraId="320ECAA3" w14:textId="77777777" w:rsidTr="00A8108B">
        <w:tc>
          <w:tcPr>
            <w:tcW w:w="0" w:type="auto"/>
            <w:hideMark/>
          </w:tcPr>
          <w:p w14:paraId="266AED33"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4.</w:t>
            </w:r>
          </w:p>
        </w:tc>
        <w:tc>
          <w:tcPr>
            <w:tcW w:w="0" w:type="auto"/>
            <w:hideMark/>
          </w:tcPr>
          <w:p w14:paraId="6F1A890D"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Mine Safety Disclosures</w:t>
            </w:r>
          </w:p>
        </w:tc>
        <w:tc>
          <w:tcPr>
            <w:tcW w:w="0" w:type="auto"/>
            <w:hideMark/>
          </w:tcPr>
          <w:p w14:paraId="6808BB85" w14:textId="4A2F809F" w:rsidR="00A8108B" w:rsidRPr="00A8108B" w:rsidRDefault="00A8108B" w:rsidP="00A8108B">
            <w:pPr>
              <w:jc w:val="center"/>
              <w:rPr>
                <w:rFonts w:ascii="Poppins" w:hAnsi="Poppins" w:cs="Poppins"/>
                <w:sz w:val="22"/>
                <w:szCs w:val="22"/>
              </w:rPr>
            </w:pPr>
            <w:r>
              <w:rPr>
                <w:rFonts w:ascii="Poppins" w:hAnsi="Poppins" w:cs="Poppins"/>
                <w:sz w:val="22"/>
                <w:szCs w:val="22"/>
              </w:rPr>
              <w:t>5</w:t>
            </w:r>
          </w:p>
        </w:tc>
      </w:tr>
      <w:tr w:rsidR="00A8108B" w:rsidRPr="00A8108B" w14:paraId="5E668A3D" w14:textId="77777777" w:rsidTr="00A8108B">
        <w:tc>
          <w:tcPr>
            <w:tcW w:w="0" w:type="auto"/>
            <w:hideMark/>
          </w:tcPr>
          <w:p w14:paraId="7C80A993"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5.</w:t>
            </w:r>
          </w:p>
        </w:tc>
        <w:tc>
          <w:tcPr>
            <w:tcW w:w="0" w:type="auto"/>
            <w:hideMark/>
          </w:tcPr>
          <w:p w14:paraId="6EF66EDA"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Other Information</w:t>
            </w:r>
          </w:p>
        </w:tc>
        <w:tc>
          <w:tcPr>
            <w:tcW w:w="0" w:type="auto"/>
            <w:hideMark/>
          </w:tcPr>
          <w:p w14:paraId="7F07842C" w14:textId="5BE94810" w:rsidR="00A8108B" w:rsidRPr="00A8108B" w:rsidRDefault="00A8108B" w:rsidP="00A8108B">
            <w:pPr>
              <w:jc w:val="center"/>
              <w:rPr>
                <w:rFonts w:ascii="Poppins" w:hAnsi="Poppins" w:cs="Poppins"/>
                <w:sz w:val="22"/>
                <w:szCs w:val="22"/>
              </w:rPr>
            </w:pPr>
            <w:r>
              <w:rPr>
                <w:rFonts w:ascii="Poppins" w:hAnsi="Poppins" w:cs="Poppins"/>
                <w:sz w:val="22"/>
                <w:szCs w:val="22"/>
              </w:rPr>
              <w:t>5</w:t>
            </w:r>
          </w:p>
        </w:tc>
      </w:tr>
      <w:tr w:rsidR="00A8108B" w:rsidRPr="00A8108B" w14:paraId="696A8291" w14:textId="77777777" w:rsidTr="00A8108B">
        <w:tc>
          <w:tcPr>
            <w:tcW w:w="0" w:type="auto"/>
            <w:hideMark/>
          </w:tcPr>
          <w:p w14:paraId="1ED2228D"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Item 6.</w:t>
            </w:r>
          </w:p>
        </w:tc>
        <w:tc>
          <w:tcPr>
            <w:tcW w:w="0" w:type="auto"/>
            <w:hideMark/>
          </w:tcPr>
          <w:p w14:paraId="7E842D45"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Exhibits</w:t>
            </w:r>
          </w:p>
        </w:tc>
        <w:tc>
          <w:tcPr>
            <w:tcW w:w="0" w:type="auto"/>
            <w:hideMark/>
          </w:tcPr>
          <w:p w14:paraId="2FC9BD28" w14:textId="1F7E7896" w:rsidR="00A8108B" w:rsidRPr="00A8108B" w:rsidRDefault="00A8108B" w:rsidP="00A8108B">
            <w:pPr>
              <w:jc w:val="center"/>
              <w:rPr>
                <w:rFonts w:ascii="Poppins" w:hAnsi="Poppins" w:cs="Poppins"/>
                <w:sz w:val="22"/>
                <w:szCs w:val="22"/>
              </w:rPr>
            </w:pPr>
            <w:r>
              <w:rPr>
                <w:rFonts w:ascii="Poppins" w:hAnsi="Poppins" w:cs="Poppins"/>
                <w:sz w:val="22"/>
                <w:szCs w:val="22"/>
              </w:rPr>
              <w:t>5</w:t>
            </w:r>
          </w:p>
        </w:tc>
      </w:tr>
    </w:tbl>
    <w:p w14:paraId="51046E2A"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br w:type="page"/>
      </w:r>
    </w:p>
    <w:p w14:paraId="361FE91E" w14:textId="14385AEA" w:rsidR="00A8108B" w:rsidRPr="00A8108B" w:rsidRDefault="008B60FA" w:rsidP="00A8108B">
      <w:pPr>
        <w:rPr>
          <w:rFonts w:ascii="Poppins" w:hAnsi="Poppins" w:cs="Poppins"/>
          <w:sz w:val="22"/>
          <w:szCs w:val="22"/>
        </w:rPr>
      </w:pPr>
      <w:r>
        <w:rPr>
          <w:rFonts w:ascii="Poppins" w:hAnsi="Poppins" w:cs="Poppins"/>
          <w:noProof/>
          <w:sz w:val="22"/>
          <w:szCs w:val="22"/>
        </w:rPr>
        <w:lastRenderedPageBreak/>
        <w:pict w14:anchorId="3F335672">
          <v:rect id="_x0000_i1037" alt="" style="width:468pt;height:.05pt;mso-width-percent:0;mso-height-percent:0;mso-width-percent:0;mso-height-percent:0" o:hralign="center" o:hrstd="t" o:hr="t" fillcolor="#a0a0a0" stroked="f"/>
        </w:pict>
      </w:r>
    </w:p>
    <w:p w14:paraId="013EE1B8" w14:textId="77777777" w:rsidR="00A8108B" w:rsidRPr="00A8108B" w:rsidRDefault="00A8108B" w:rsidP="00A8108B">
      <w:pPr>
        <w:rPr>
          <w:rFonts w:ascii="Poppins" w:hAnsi="Poppins" w:cs="Poppins"/>
          <w:b/>
          <w:bCs/>
          <w:sz w:val="32"/>
          <w:szCs w:val="32"/>
        </w:rPr>
      </w:pPr>
      <w:r w:rsidRPr="00A8108B">
        <w:rPr>
          <w:rFonts w:ascii="Poppins" w:hAnsi="Poppins" w:cs="Poppins"/>
          <w:b/>
          <w:bCs/>
          <w:sz w:val="32"/>
          <w:szCs w:val="32"/>
        </w:rPr>
        <w:t>PART I. FINANCIAL INFORMATION</w:t>
      </w:r>
    </w:p>
    <w:p w14:paraId="6465FDB3"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2F8819EC">
          <v:rect id="_x0000_i1036" alt="" style="width:468pt;height:.05pt;mso-width-percent:0;mso-height-percent:0;mso-width-percent:0;mso-height-percent:0" o:hralign="center" o:hrstd="t" o:hr="t" fillcolor="#a0a0a0" stroked="f"/>
        </w:pict>
      </w:r>
    </w:p>
    <w:p w14:paraId="37C29C2A"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 1. Financial Statements</w:t>
      </w:r>
    </w:p>
    <w:p w14:paraId="3FEDB7EC" w14:textId="77777777" w:rsidR="00A8108B" w:rsidRPr="00A8108B" w:rsidRDefault="00A8108B" w:rsidP="00A8108B">
      <w:pPr>
        <w:spacing w:after="120"/>
        <w:rPr>
          <w:rFonts w:ascii="Poppins" w:hAnsi="Poppins" w:cs="Poppins"/>
          <w:b/>
          <w:bCs/>
          <w:sz w:val="22"/>
          <w:szCs w:val="22"/>
        </w:rPr>
      </w:pPr>
      <w:r w:rsidRPr="00A8108B">
        <w:rPr>
          <w:rFonts w:ascii="Poppins" w:hAnsi="Poppins" w:cs="Poppins"/>
          <w:b/>
          <w:bCs/>
          <w:sz w:val="22"/>
          <w:szCs w:val="22"/>
        </w:rPr>
        <w:t>Consolidated Statements of Cash Flows (Q2 2024)</w:t>
      </w:r>
    </w:p>
    <w:tbl>
      <w:tblPr>
        <w:tblStyle w:val="TableGrid"/>
        <w:tblW w:w="9294" w:type="dxa"/>
        <w:tblLook w:val="04A0" w:firstRow="1" w:lastRow="0" w:firstColumn="1" w:lastColumn="0" w:noHBand="0" w:noVBand="1"/>
      </w:tblPr>
      <w:tblGrid>
        <w:gridCol w:w="4495"/>
        <w:gridCol w:w="1710"/>
        <w:gridCol w:w="1732"/>
        <w:gridCol w:w="1357"/>
      </w:tblGrid>
      <w:tr w:rsidR="00A8108B" w:rsidRPr="00A8108B" w14:paraId="23DB1496" w14:textId="77777777" w:rsidTr="00A8108B">
        <w:trPr>
          <w:trHeight w:val="316"/>
        </w:trPr>
        <w:tc>
          <w:tcPr>
            <w:tcW w:w="4495" w:type="dxa"/>
            <w:hideMark/>
          </w:tcPr>
          <w:p w14:paraId="1DB5A936" w14:textId="77777777" w:rsidR="00A8108B" w:rsidRPr="00A8108B" w:rsidRDefault="00A8108B" w:rsidP="00A8108B">
            <w:pPr>
              <w:rPr>
                <w:rFonts w:ascii="Poppins" w:hAnsi="Poppins" w:cs="Poppins"/>
                <w:b/>
                <w:bCs/>
                <w:sz w:val="20"/>
                <w:szCs w:val="20"/>
              </w:rPr>
            </w:pPr>
            <w:r w:rsidRPr="00A8108B">
              <w:rPr>
                <w:rFonts w:ascii="Poppins" w:hAnsi="Poppins" w:cs="Poppins"/>
                <w:b/>
                <w:bCs/>
                <w:sz w:val="20"/>
                <w:szCs w:val="20"/>
              </w:rPr>
              <w:t>Cash Flow Activity</w:t>
            </w:r>
          </w:p>
        </w:tc>
        <w:tc>
          <w:tcPr>
            <w:tcW w:w="1710" w:type="dxa"/>
            <w:hideMark/>
          </w:tcPr>
          <w:p w14:paraId="5D29333D" w14:textId="77777777" w:rsidR="00A8108B" w:rsidRPr="00A8108B" w:rsidRDefault="00A8108B" w:rsidP="00A8108B">
            <w:pPr>
              <w:rPr>
                <w:rFonts w:ascii="Poppins" w:hAnsi="Poppins" w:cs="Poppins"/>
                <w:b/>
                <w:bCs/>
                <w:sz w:val="20"/>
                <w:szCs w:val="20"/>
              </w:rPr>
            </w:pPr>
            <w:r w:rsidRPr="00A8108B">
              <w:rPr>
                <w:rFonts w:ascii="Poppins" w:hAnsi="Poppins" w:cs="Poppins"/>
                <w:b/>
                <w:bCs/>
                <w:sz w:val="20"/>
                <w:szCs w:val="20"/>
              </w:rPr>
              <w:t>Q2 2024</w:t>
            </w:r>
          </w:p>
        </w:tc>
        <w:tc>
          <w:tcPr>
            <w:tcW w:w="1732" w:type="dxa"/>
            <w:hideMark/>
          </w:tcPr>
          <w:p w14:paraId="109F94F6" w14:textId="77777777" w:rsidR="00A8108B" w:rsidRPr="00A8108B" w:rsidRDefault="00A8108B" w:rsidP="00A8108B">
            <w:pPr>
              <w:rPr>
                <w:rFonts w:ascii="Poppins" w:hAnsi="Poppins" w:cs="Poppins"/>
                <w:b/>
                <w:bCs/>
                <w:sz w:val="20"/>
                <w:szCs w:val="20"/>
              </w:rPr>
            </w:pPr>
            <w:r w:rsidRPr="00A8108B">
              <w:rPr>
                <w:rFonts w:ascii="Poppins" w:hAnsi="Poppins" w:cs="Poppins"/>
                <w:b/>
                <w:bCs/>
                <w:sz w:val="20"/>
                <w:szCs w:val="20"/>
              </w:rPr>
              <w:t>Q2 2023</w:t>
            </w:r>
          </w:p>
        </w:tc>
        <w:tc>
          <w:tcPr>
            <w:tcW w:w="0" w:type="auto"/>
            <w:hideMark/>
          </w:tcPr>
          <w:p w14:paraId="55226720" w14:textId="77777777" w:rsidR="00A8108B" w:rsidRPr="00A8108B" w:rsidRDefault="00A8108B" w:rsidP="00A8108B">
            <w:pPr>
              <w:rPr>
                <w:rFonts w:ascii="Poppins" w:hAnsi="Poppins" w:cs="Poppins"/>
                <w:b/>
                <w:bCs/>
                <w:sz w:val="20"/>
                <w:szCs w:val="20"/>
              </w:rPr>
            </w:pPr>
            <w:r w:rsidRPr="00A8108B">
              <w:rPr>
                <w:rFonts w:ascii="Poppins" w:hAnsi="Poppins" w:cs="Poppins"/>
                <w:b/>
                <w:bCs/>
                <w:sz w:val="20"/>
                <w:szCs w:val="20"/>
              </w:rPr>
              <w:t>% Change</w:t>
            </w:r>
          </w:p>
        </w:tc>
      </w:tr>
      <w:tr w:rsidR="00A8108B" w:rsidRPr="00A8108B" w14:paraId="651BF706" w14:textId="77777777" w:rsidTr="00A8108B">
        <w:trPr>
          <w:trHeight w:val="316"/>
        </w:trPr>
        <w:tc>
          <w:tcPr>
            <w:tcW w:w="4495" w:type="dxa"/>
            <w:hideMark/>
          </w:tcPr>
          <w:p w14:paraId="26B18FCB" w14:textId="77777777" w:rsidR="00A8108B" w:rsidRPr="00A8108B" w:rsidRDefault="00A8108B" w:rsidP="00A8108B">
            <w:pPr>
              <w:rPr>
                <w:rFonts w:ascii="Poppins" w:hAnsi="Poppins" w:cs="Poppins"/>
                <w:sz w:val="20"/>
                <w:szCs w:val="20"/>
              </w:rPr>
            </w:pPr>
            <w:r w:rsidRPr="00A8108B">
              <w:rPr>
                <w:rFonts w:ascii="Poppins" w:hAnsi="Poppins" w:cs="Poppins"/>
                <w:sz w:val="20"/>
                <w:szCs w:val="20"/>
              </w:rPr>
              <w:t>Net Cash Provided by Operating Activities</w:t>
            </w:r>
          </w:p>
        </w:tc>
        <w:tc>
          <w:tcPr>
            <w:tcW w:w="1710" w:type="dxa"/>
            <w:hideMark/>
          </w:tcPr>
          <w:p w14:paraId="04E6154C" w14:textId="0C4F01DE" w:rsidR="00A8108B" w:rsidRPr="00A8108B" w:rsidRDefault="00A701B9" w:rsidP="00A8108B">
            <w:pPr>
              <w:rPr>
                <w:rFonts w:ascii="Poppins" w:hAnsi="Poppins" w:cs="Poppins"/>
                <w:sz w:val="20"/>
                <w:szCs w:val="20"/>
              </w:rPr>
            </w:pPr>
            <w:r>
              <w:rPr>
                <w:rFonts w:ascii="Poppins" w:hAnsi="Poppins" w:cs="Poppins"/>
                <w:sz w:val="20"/>
                <w:szCs w:val="20"/>
              </w:rPr>
              <w:t>$1.5 billion</w:t>
            </w:r>
          </w:p>
        </w:tc>
        <w:tc>
          <w:tcPr>
            <w:tcW w:w="1732" w:type="dxa"/>
            <w:hideMark/>
          </w:tcPr>
          <w:p w14:paraId="09CBC115" w14:textId="6B577D7B" w:rsidR="00A8108B" w:rsidRPr="00A8108B" w:rsidRDefault="00A701B9" w:rsidP="00A8108B">
            <w:pPr>
              <w:rPr>
                <w:rFonts w:ascii="Poppins" w:hAnsi="Poppins" w:cs="Poppins"/>
                <w:sz w:val="20"/>
                <w:szCs w:val="20"/>
              </w:rPr>
            </w:pPr>
            <w:r>
              <w:rPr>
                <w:rFonts w:ascii="Poppins" w:hAnsi="Poppins" w:cs="Poppins"/>
                <w:sz w:val="20"/>
                <w:szCs w:val="20"/>
              </w:rPr>
              <w:t>$1.45 billion</w:t>
            </w:r>
          </w:p>
        </w:tc>
        <w:tc>
          <w:tcPr>
            <w:tcW w:w="0" w:type="auto"/>
            <w:hideMark/>
          </w:tcPr>
          <w:p w14:paraId="68BAE625" w14:textId="7E298750" w:rsidR="00A8108B" w:rsidRPr="00A8108B" w:rsidRDefault="00A701B9" w:rsidP="00A8108B">
            <w:pPr>
              <w:rPr>
                <w:rFonts w:ascii="Poppins" w:hAnsi="Poppins" w:cs="Poppins"/>
                <w:sz w:val="20"/>
                <w:szCs w:val="20"/>
              </w:rPr>
            </w:pPr>
            <w:r>
              <w:rPr>
                <w:rFonts w:ascii="Poppins" w:hAnsi="Poppins" w:cs="Poppins"/>
                <w:sz w:val="20"/>
                <w:szCs w:val="20"/>
              </w:rPr>
              <w:t>3.4</w:t>
            </w:r>
          </w:p>
        </w:tc>
      </w:tr>
      <w:tr w:rsidR="00A8108B" w:rsidRPr="00A8108B" w14:paraId="341489E0" w14:textId="77777777" w:rsidTr="00A8108B">
        <w:trPr>
          <w:trHeight w:val="332"/>
        </w:trPr>
        <w:tc>
          <w:tcPr>
            <w:tcW w:w="4495" w:type="dxa"/>
            <w:hideMark/>
          </w:tcPr>
          <w:p w14:paraId="7CE09C5C" w14:textId="77777777" w:rsidR="00A8108B" w:rsidRPr="00A8108B" w:rsidRDefault="00A8108B" w:rsidP="00A8108B">
            <w:pPr>
              <w:rPr>
                <w:rFonts w:ascii="Poppins" w:hAnsi="Poppins" w:cs="Poppins"/>
                <w:sz w:val="20"/>
                <w:szCs w:val="20"/>
              </w:rPr>
            </w:pPr>
            <w:r w:rsidRPr="00A8108B">
              <w:rPr>
                <w:rFonts w:ascii="Poppins" w:hAnsi="Poppins" w:cs="Poppins"/>
                <w:sz w:val="20"/>
                <w:szCs w:val="20"/>
              </w:rPr>
              <w:t>Net Cash Used in Investing Activities</w:t>
            </w:r>
          </w:p>
        </w:tc>
        <w:tc>
          <w:tcPr>
            <w:tcW w:w="1710" w:type="dxa"/>
            <w:hideMark/>
          </w:tcPr>
          <w:p w14:paraId="4FDB66F0" w14:textId="0FFA55F0" w:rsidR="00A8108B" w:rsidRPr="00A8108B" w:rsidRDefault="00A701B9" w:rsidP="00A8108B">
            <w:pPr>
              <w:rPr>
                <w:rFonts w:ascii="Poppins" w:hAnsi="Poppins" w:cs="Poppins"/>
                <w:sz w:val="20"/>
                <w:szCs w:val="20"/>
              </w:rPr>
            </w:pPr>
            <w:r>
              <w:rPr>
                <w:rFonts w:ascii="Poppins" w:hAnsi="Poppins" w:cs="Poppins"/>
                <w:sz w:val="20"/>
                <w:szCs w:val="20"/>
              </w:rPr>
              <w:t>$750 million</w:t>
            </w:r>
          </w:p>
        </w:tc>
        <w:tc>
          <w:tcPr>
            <w:tcW w:w="1732" w:type="dxa"/>
            <w:hideMark/>
          </w:tcPr>
          <w:p w14:paraId="2F08E639" w14:textId="7BFFA467" w:rsidR="00A8108B" w:rsidRPr="00A8108B" w:rsidRDefault="00A701B9" w:rsidP="00A8108B">
            <w:pPr>
              <w:rPr>
                <w:rFonts w:ascii="Poppins" w:hAnsi="Poppins" w:cs="Poppins"/>
                <w:sz w:val="20"/>
                <w:szCs w:val="20"/>
              </w:rPr>
            </w:pPr>
            <w:r>
              <w:rPr>
                <w:rFonts w:ascii="Poppins" w:hAnsi="Poppins" w:cs="Poppins"/>
                <w:sz w:val="20"/>
                <w:szCs w:val="20"/>
              </w:rPr>
              <w:t>$725 million</w:t>
            </w:r>
          </w:p>
        </w:tc>
        <w:tc>
          <w:tcPr>
            <w:tcW w:w="0" w:type="auto"/>
            <w:hideMark/>
          </w:tcPr>
          <w:p w14:paraId="0374D4CE" w14:textId="4BF940D2" w:rsidR="00A8108B" w:rsidRPr="00A8108B" w:rsidRDefault="00A701B9" w:rsidP="00A8108B">
            <w:pPr>
              <w:rPr>
                <w:rFonts w:ascii="Poppins" w:hAnsi="Poppins" w:cs="Poppins"/>
                <w:sz w:val="20"/>
                <w:szCs w:val="20"/>
              </w:rPr>
            </w:pPr>
            <w:r>
              <w:rPr>
                <w:rFonts w:ascii="Poppins" w:hAnsi="Poppins" w:cs="Poppins"/>
                <w:sz w:val="20"/>
                <w:szCs w:val="20"/>
              </w:rPr>
              <w:t>3.4%</w:t>
            </w:r>
          </w:p>
        </w:tc>
      </w:tr>
      <w:tr w:rsidR="00A8108B" w:rsidRPr="00A8108B" w14:paraId="3ADE7AAC" w14:textId="77777777" w:rsidTr="00A8108B">
        <w:trPr>
          <w:trHeight w:val="316"/>
        </w:trPr>
        <w:tc>
          <w:tcPr>
            <w:tcW w:w="4495" w:type="dxa"/>
            <w:hideMark/>
          </w:tcPr>
          <w:p w14:paraId="12FA2235" w14:textId="77777777" w:rsidR="00A8108B" w:rsidRPr="00A8108B" w:rsidRDefault="00A8108B" w:rsidP="00A8108B">
            <w:pPr>
              <w:rPr>
                <w:rFonts w:ascii="Poppins" w:hAnsi="Poppins" w:cs="Poppins"/>
                <w:sz w:val="20"/>
                <w:szCs w:val="20"/>
              </w:rPr>
            </w:pPr>
            <w:r w:rsidRPr="00A8108B">
              <w:rPr>
                <w:rFonts w:ascii="Poppins" w:hAnsi="Poppins" w:cs="Poppins"/>
                <w:sz w:val="20"/>
                <w:szCs w:val="20"/>
              </w:rPr>
              <w:t>Net Cash Used in Financing Activities</w:t>
            </w:r>
          </w:p>
        </w:tc>
        <w:tc>
          <w:tcPr>
            <w:tcW w:w="1710" w:type="dxa"/>
            <w:hideMark/>
          </w:tcPr>
          <w:p w14:paraId="20FEF7D7" w14:textId="3E803762" w:rsidR="00A8108B" w:rsidRPr="00A8108B" w:rsidRDefault="00A701B9" w:rsidP="00A8108B">
            <w:pPr>
              <w:rPr>
                <w:rFonts w:ascii="Poppins" w:hAnsi="Poppins" w:cs="Poppins"/>
                <w:sz w:val="20"/>
                <w:szCs w:val="20"/>
              </w:rPr>
            </w:pPr>
            <w:r>
              <w:rPr>
                <w:rFonts w:ascii="Poppins" w:hAnsi="Poppins" w:cs="Poppins"/>
                <w:sz w:val="20"/>
                <w:szCs w:val="20"/>
              </w:rPr>
              <w:t>$400 million</w:t>
            </w:r>
          </w:p>
        </w:tc>
        <w:tc>
          <w:tcPr>
            <w:tcW w:w="1732" w:type="dxa"/>
            <w:hideMark/>
          </w:tcPr>
          <w:p w14:paraId="7076A980" w14:textId="0C0023BE" w:rsidR="00A8108B" w:rsidRPr="00A8108B" w:rsidRDefault="00A701B9" w:rsidP="00A8108B">
            <w:pPr>
              <w:rPr>
                <w:rFonts w:ascii="Poppins" w:hAnsi="Poppins" w:cs="Poppins"/>
                <w:sz w:val="20"/>
                <w:szCs w:val="20"/>
              </w:rPr>
            </w:pPr>
            <w:r>
              <w:rPr>
                <w:rFonts w:ascii="Poppins" w:hAnsi="Poppins" w:cs="Poppins"/>
                <w:sz w:val="20"/>
                <w:szCs w:val="20"/>
              </w:rPr>
              <w:t>$380 million</w:t>
            </w:r>
          </w:p>
        </w:tc>
        <w:tc>
          <w:tcPr>
            <w:tcW w:w="0" w:type="auto"/>
            <w:hideMark/>
          </w:tcPr>
          <w:p w14:paraId="13518EC3" w14:textId="7873C271" w:rsidR="00A8108B" w:rsidRPr="00A8108B" w:rsidRDefault="00A701B9" w:rsidP="00A8108B">
            <w:pPr>
              <w:rPr>
                <w:rFonts w:ascii="Poppins" w:hAnsi="Poppins" w:cs="Poppins"/>
                <w:sz w:val="20"/>
                <w:szCs w:val="20"/>
              </w:rPr>
            </w:pPr>
            <w:r>
              <w:rPr>
                <w:rFonts w:ascii="Poppins" w:hAnsi="Poppins" w:cs="Poppins"/>
                <w:sz w:val="20"/>
                <w:szCs w:val="20"/>
              </w:rPr>
              <w:t>5.3%</w:t>
            </w:r>
          </w:p>
        </w:tc>
      </w:tr>
    </w:tbl>
    <w:p w14:paraId="0414FC4B" w14:textId="77777777" w:rsidR="00A8108B" w:rsidRPr="00A8108B" w:rsidRDefault="00A8108B" w:rsidP="00A8108B">
      <w:pPr>
        <w:spacing w:before="240"/>
        <w:rPr>
          <w:rFonts w:ascii="Poppins" w:hAnsi="Poppins" w:cs="Poppins"/>
          <w:b/>
          <w:bCs/>
          <w:sz w:val="22"/>
          <w:szCs w:val="22"/>
        </w:rPr>
      </w:pPr>
      <w:r w:rsidRPr="00A8108B">
        <w:rPr>
          <w:rFonts w:ascii="Poppins" w:hAnsi="Poppins" w:cs="Poppins"/>
          <w:b/>
          <w:bCs/>
          <w:sz w:val="22"/>
          <w:szCs w:val="22"/>
        </w:rPr>
        <w:t>Consolidated Statements of Operations</w:t>
      </w:r>
    </w:p>
    <w:tbl>
      <w:tblPr>
        <w:tblStyle w:val="TableGrid"/>
        <w:tblW w:w="9244" w:type="dxa"/>
        <w:tblLook w:val="04A0" w:firstRow="1" w:lastRow="0" w:firstColumn="1" w:lastColumn="0" w:noHBand="0" w:noVBand="1"/>
      </w:tblPr>
      <w:tblGrid>
        <w:gridCol w:w="4495"/>
        <w:gridCol w:w="1710"/>
        <w:gridCol w:w="1710"/>
        <w:gridCol w:w="1329"/>
      </w:tblGrid>
      <w:tr w:rsidR="00A8108B" w:rsidRPr="00A8108B" w14:paraId="6B400266" w14:textId="77777777" w:rsidTr="00A8108B">
        <w:trPr>
          <w:trHeight w:val="362"/>
        </w:trPr>
        <w:tc>
          <w:tcPr>
            <w:tcW w:w="4495" w:type="dxa"/>
            <w:hideMark/>
          </w:tcPr>
          <w:p w14:paraId="341F7AA0" w14:textId="77777777" w:rsidR="00A8108B" w:rsidRPr="00A8108B" w:rsidRDefault="00A8108B" w:rsidP="00A8108B">
            <w:pPr>
              <w:rPr>
                <w:rFonts w:ascii="Poppins" w:hAnsi="Poppins" w:cs="Poppins"/>
                <w:b/>
                <w:bCs/>
                <w:sz w:val="20"/>
                <w:szCs w:val="20"/>
              </w:rPr>
            </w:pPr>
            <w:r w:rsidRPr="00A8108B">
              <w:rPr>
                <w:rFonts w:ascii="Poppins" w:hAnsi="Poppins" w:cs="Poppins"/>
                <w:b/>
                <w:bCs/>
                <w:sz w:val="20"/>
                <w:szCs w:val="20"/>
              </w:rPr>
              <w:t>Item</w:t>
            </w:r>
          </w:p>
        </w:tc>
        <w:tc>
          <w:tcPr>
            <w:tcW w:w="1710" w:type="dxa"/>
            <w:hideMark/>
          </w:tcPr>
          <w:p w14:paraId="36B01A80" w14:textId="77777777" w:rsidR="00A8108B" w:rsidRPr="00A8108B" w:rsidRDefault="00A8108B" w:rsidP="00A8108B">
            <w:pPr>
              <w:rPr>
                <w:rFonts w:ascii="Poppins" w:hAnsi="Poppins" w:cs="Poppins"/>
                <w:b/>
                <w:bCs/>
                <w:sz w:val="20"/>
                <w:szCs w:val="20"/>
              </w:rPr>
            </w:pPr>
            <w:r w:rsidRPr="00A8108B">
              <w:rPr>
                <w:rFonts w:ascii="Poppins" w:hAnsi="Poppins" w:cs="Poppins"/>
                <w:b/>
                <w:bCs/>
                <w:sz w:val="20"/>
                <w:szCs w:val="20"/>
              </w:rPr>
              <w:t>Q2 2024</w:t>
            </w:r>
          </w:p>
        </w:tc>
        <w:tc>
          <w:tcPr>
            <w:tcW w:w="1710" w:type="dxa"/>
            <w:hideMark/>
          </w:tcPr>
          <w:p w14:paraId="1CF57A31" w14:textId="77777777" w:rsidR="00A8108B" w:rsidRPr="00A8108B" w:rsidRDefault="00A8108B" w:rsidP="00A8108B">
            <w:pPr>
              <w:rPr>
                <w:rFonts w:ascii="Poppins" w:hAnsi="Poppins" w:cs="Poppins"/>
                <w:b/>
                <w:bCs/>
                <w:sz w:val="20"/>
                <w:szCs w:val="20"/>
              </w:rPr>
            </w:pPr>
            <w:r w:rsidRPr="00A8108B">
              <w:rPr>
                <w:rFonts w:ascii="Poppins" w:hAnsi="Poppins" w:cs="Poppins"/>
                <w:b/>
                <w:bCs/>
                <w:sz w:val="20"/>
                <w:szCs w:val="20"/>
              </w:rPr>
              <w:t>Q2 2023</w:t>
            </w:r>
          </w:p>
        </w:tc>
        <w:tc>
          <w:tcPr>
            <w:tcW w:w="1329" w:type="dxa"/>
            <w:hideMark/>
          </w:tcPr>
          <w:p w14:paraId="105D6D8A" w14:textId="77777777" w:rsidR="00A8108B" w:rsidRPr="00A8108B" w:rsidRDefault="00A8108B" w:rsidP="00A8108B">
            <w:pPr>
              <w:rPr>
                <w:rFonts w:ascii="Poppins" w:hAnsi="Poppins" w:cs="Poppins"/>
                <w:b/>
                <w:bCs/>
                <w:sz w:val="20"/>
                <w:szCs w:val="20"/>
              </w:rPr>
            </w:pPr>
            <w:r w:rsidRPr="00A8108B">
              <w:rPr>
                <w:rFonts w:ascii="Poppins" w:hAnsi="Poppins" w:cs="Poppins"/>
                <w:b/>
                <w:bCs/>
                <w:sz w:val="20"/>
                <w:szCs w:val="20"/>
              </w:rPr>
              <w:t>% Change</w:t>
            </w:r>
          </w:p>
        </w:tc>
      </w:tr>
      <w:tr w:rsidR="00A8108B" w:rsidRPr="00A8108B" w14:paraId="7F34B5B1" w14:textId="77777777" w:rsidTr="00A8108B">
        <w:trPr>
          <w:trHeight w:val="346"/>
        </w:trPr>
        <w:tc>
          <w:tcPr>
            <w:tcW w:w="4495" w:type="dxa"/>
            <w:hideMark/>
          </w:tcPr>
          <w:p w14:paraId="11A8F6E6" w14:textId="77777777" w:rsidR="00A8108B" w:rsidRPr="00A8108B" w:rsidRDefault="00A8108B" w:rsidP="00A8108B">
            <w:pPr>
              <w:rPr>
                <w:rFonts w:ascii="Poppins" w:hAnsi="Poppins" w:cs="Poppins"/>
                <w:sz w:val="20"/>
                <w:szCs w:val="20"/>
              </w:rPr>
            </w:pPr>
            <w:r w:rsidRPr="00A8108B">
              <w:rPr>
                <w:rFonts w:ascii="Poppins" w:hAnsi="Poppins" w:cs="Poppins"/>
                <w:sz w:val="20"/>
                <w:szCs w:val="20"/>
              </w:rPr>
              <w:t>Total Revenue</w:t>
            </w:r>
          </w:p>
        </w:tc>
        <w:tc>
          <w:tcPr>
            <w:tcW w:w="1710" w:type="dxa"/>
            <w:hideMark/>
          </w:tcPr>
          <w:p w14:paraId="1A1481FD" w14:textId="2B2D818E" w:rsidR="00A8108B" w:rsidRPr="00A8108B" w:rsidRDefault="00A8108B" w:rsidP="00A8108B">
            <w:pPr>
              <w:rPr>
                <w:rFonts w:ascii="Poppins" w:hAnsi="Poppins" w:cs="Poppins"/>
                <w:sz w:val="20"/>
                <w:szCs w:val="20"/>
              </w:rPr>
            </w:pPr>
            <w:r w:rsidRPr="00A8108B">
              <w:rPr>
                <w:rFonts w:ascii="Poppins" w:hAnsi="Poppins" w:cs="Poppins"/>
                <w:sz w:val="20"/>
                <w:szCs w:val="20"/>
              </w:rPr>
              <w:t>$1.2</w:t>
            </w:r>
            <w:r w:rsidR="00CF081C">
              <w:rPr>
                <w:rFonts w:ascii="Poppins" w:hAnsi="Poppins" w:cs="Poppins"/>
                <w:sz w:val="20"/>
                <w:szCs w:val="20"/>
              </w:rPr>
              <w:t>6</w:t>
            </w:r>
            <w:r w:rsidRPr="00A8108B">
              <w:rPr>
                <w:rFonts w:ascii="Poppins" w:hAnsi="Poppins" w:cs="Poppins"/>
                <w:sz w:val="20"/>
                <w:szCs w:val="20"/>
              </w:rPr>
              <w:t xml:space="preserve"> billion</w:t>
            </w:r>
          </w:p>
        </w:tc>
        <w:tc>
          <w:tcPr>
            <w:tcW w:w="1710" w:type="dxa"/>
            <w:hideMark/>
          </w:tcPr>
          <w:p w14:paraId="1FCB95BD" w14:textId="77777777" w:rsidR="00A8108B" w:rsidRPr="00A8108B" w:rsidRDefault="00A8108B" w:rsidP="00A8108B">
            <w:pPr>
              <w:rPr>
                <w:rFonts w:ascii="Poppins" w:hAnsi="Poppins" w:cs="Poppins"/>
                <w:sz w:val="20"/>
                <w:szCs w:val="20"/>
              </w:rPr>
            </w:pPr>
            <w:r w:rsidRPr="00A8108B">
              <w:rPr>
                <w:rFonts w:ascii="Poppins" w:hAnsi="Poppins" w:cs="Poppins"/>
                <w:sz w:val="20"/>
                <w:szCs w:val="20"/>
              </w:rPr>
              <w:t>$1.20 billion</w:t>
            </w:r>
          </w:p>
        </w:tc>
        <w:tc>
          <w:tcPr>
            <w:tcW w:w="1329" w:type="dxa"/>
            <w:hideMark/>
          </w:tcPr>
          <w:p w14:paraId="603C2A6E" w14:textId="17BA7712" w:rsidR="00A8108B" w:rsidRPr="00A8108B" w:rsidRDefault="00A8108B" w:rsidP="00A8108B">
            <w:pPr>
              <w:rPr>
                <w:rFonts w:ascii="Poppins" w:hAnsi="Poppins" w:cs="Poppins"/>
                <w:sz w:val="20"/>
                <w:szCs w:val="20"/>
              </w:rPr>
            </w:pPr>
            <w:r w:rsidRPr="00A8108B">
              <w:rPr>
                <w:rFonts w:ascii="Poppins" w:hAnsi="Poppins" w:cs="Poppins"/>
                <w:sz w:val="20"/>
                <w:szCs w:val="20"/>
              </w:rPr>
              <w:t>+</w:t>
            </w:r>
            <w:r w:rsidR="00CF081C">
              <w:rPr>
                <w:rFonts w:ascii="Poppins" w:hAnsi="Poppins" w:cs="Poppins"/>
                <w:sz w:val="20"/>
                <w:szCs w:val="20"/>
              </w:rPr>
              <w:t>5.0</w:t>
            </w:r>
            <w:r w:rsidRPr="00A8108B">
              <w:rPr>
                <w:rFonts w:ascii="Poppins" w:hAnsi="Poppins" w:cs="Poppins"/>
                <w:sz w:val="20"/>
                <w:szCs w:val="20"/>
              </w:rPr>
              <w:t>%</w:t>
            </w:r>
          </w:p>
        </w:tc>
      </w:tr>
      <w:tr w:rsidR="00A8108B" w:rsidRPr="00A8108B" w14:paraId="558BA1A9" w14:textId="77777777" w:rsidTr="00A8108B">
        <w:trPr>
          <w:trHeight w:val="346"/>
        </w:trPr>
        <w:tc>
          <w:tcPr>
            <w:tcW w:w="4495" w:type="dxa"/>
            <w:hideMark/>
          </w:tcPr>
          <w:p w14:paraId="242B518C" w14:textId="77777777" w:rsidR="00A8108B" w:rsidRPr="00A8108B" w:rsidRDefault="00A8108B" w:rsidP="00A8108B">
            <w:pPr>
              <w:rPr>
                <w:rFonts w:ascii="Poppins" w:hAnsi="Poppins" w:cs="Poppins"/>
                <w:sz w:val="20"/>
                <w:szCs w:val="20"/>
              </w:rPr>
            </w:pPr>
            <w:r w:rsidRPr="00A8108B">
              <w:rPr>
                <w:rFonts w:ascii="Poppins" w:hAnsi="Poppins" w:cs="Poppins"/>
                <w:sz w:val="20"/>
                <w:szCs w:val="20"/>
              </w:rPr>
              <w:t>Total Operating Expenses</w:t>
            </w:r>
          </w:p>
        </w:tc>
        <w:tc>
          <w:tcPr>
            <w:tcW w:w="1710" w:type="dxa"/>
            <w:hideMark/>
          </w:tcPr>
          <w:p w14:paraId="2CE42048" w14:textId="30356392" w:rsidR="00A8108B" w:rsidRPr="00A8108B" w:rsidRDefault="00A8108B" w:rsidP="00A8108B">
            <w:pPr>
              <w:rPr>
                <w:rFonts w:ascii="Poppins" w:hAnsi="Poppins" w:cs="Poppins"/>
                <w:sz w:val="20"/>
                <w:szCs w:val="20"/>
              </w:rPr>
            </w:pPr>
            <w:r w:rsidRPr="00A8108B">
              <w:rPr>
                <w:rFonts w:ascii="Poppins" w:hAnsi="Poppins" w:cs="Poppins"/>
                <w:sz w:val="20"/>
                <w:szCs w:val="20"/>
              </w:rPr>
              <w:t>$</w:t>
            </w:r>
            <w:r w:rsidR="00CF081C">
              <w:rPr>
                <w:rFonts w:ascii="Poppins" w:hAnsi="Poppins" w:cs="Poppins"/>
                <w:sz w:val="20"/>
                <w:szCs w:val="20"/>
              </w:rPr>
              <w:t>685</w:t>
            </w:r>
            <w:r w:rsidRPr="00A8108B">
              <w:rPr>
                <w:rFonts w:ascii="Poppins" w:hAnsi="Poppins" w:cs="Poppins"/>
                <w:sz w:val="20"/>
                <w:szCs w:val="20"/>
              </w:rPr>
              <w:t xml:space="preserve"> million</w:t>
            </w:r>
          </w:p>
        </w:tc>
        <w:tc>
          <w:tcPr>
            <w:tcW w:w="1710" w:type="dxa"/>
            <w:hideMark/>
          </w:tcPr>
          <w:p w14:paraId="46B73B61" w14:textId="58556649" w:rsidR="00A8108B" w:rsidRPr="00A8108B" w:rsidRDefault="00A8108B" w:rsidP="00A8108B">
            <w:pPr>
              <w:rPr>
                <w:rFonts w:ascii="Poppins" w:hAnsi="Poppins" w:cs="Poppins"/>
                <w:sz w:val="20"/>
                <w:szCs w:val="20"/>
              </w:rPr>
            </w:pPr>
            <w:r w:rsidRPr="00A8108B">
              <w:rPr>
                <w:rFonts w:ascii="Poppins" w:hAnsi="Poppins" w:cs="Poppins"/>
                <w:sz w:val="20"/>
                <w:szCs w:val="20"/>
              </w:rPr>
              <w:t>$6</w:t>
            </w:r>
            <w:r w:rsidR="00CF081C">
              <w:rPr>
                <w:rFonts w:ascii="Poppins" w:hAnsi="Poppins" w:cs="Poppins"/>
                <w:sz w:val="20"/>
                <w:szCs w:val="20"/>
              </w:rPr>
              <w:t>65</w:t>
            </w:r>
            <w:r w:rsidRPr="00A8108B">
              <w:rPr>
                <w:rFonts w:ascii="Poppins" w:hAnsi="Poppins" w:cs="Poppins"/>
                <w:sz w:val="20"/>
                <w:szCs w:val="20"/>
              </w:rPr>
              <w:t xml:space="preserve"> million</w:t>
            </w:r>
          </w:p>
        </w:tc>
        <w:tc>
          <w:tcPr>
            <w:tcW w:w="1329" w:type="dxa"/>
            <w:hideMark/>
          </w:tcPr>
          <w:p w14:paraId="7E6DCE2D" w14:textId="1005AAF0" w:rsidR="00A8108B" w:rsidRPr="00A8108B" w:rsidRDefault="00A8108B" w:rsidP="00A8108B">
            <w:pPr>
              <w:rPr>
                <w:rFonts w:ascii="Poppins" w:hAnsi="Poppins" w:cs="Poppins"/>
                <w:sz w:val="20"/>
                <w:szCs w:val="20"/>
              </w:rPr>
            </w:pPr>
            <w:r w:rsidRPr="00A8108B">
              <w:rPr>
                <w:rFonts w:ascii="Poppins" w:hAnsi="Poppins" w:cs="Poppins"/>
                <w:sz w:val="20"/>
                <w:szCs w:val="20"/>
              </w:rPr>
              <w:t>+</w:t>
            </w:r>
            <w:r w:rsidR="00CF081C">
              <w:rPr>
                <w:rFonts w:ascii="Poppins" w:hAnsi="Poppins" w:cs="Poppins"/>
                <w:sz w:val="20"/>
                <w:szCs w:val="20"/>
              </w:rPr>
              <w:t>3.0</w:t>
            </w:r>
            <w:r w:rsidRPr="00A8108B">
              <w:rPr>
                <w:rFonts w:ascii="Poppins" w:hAnsi="Poppins" w:cs="Poppins"/>
                <w:sz w:val="20"/>
                <w:szCs w:val="20"/>
              </w:rPr>
              <w:t>%</w:t>
            </w:r>
          </w:p>
        </w:tc>
      </w:tr>
      <w:tr w:rsidR="00A8108B" w:rsidRPr="00A8108B" w14:paraId="5369C42B" w14:textId="77777777" w:rsidTr="00A8108B">
        <w:trPr>
          <w:trHeight w:val="362"/>
        </w:trPr>
        <w:tc>
          <w:tcPr>
            <w:tcW w:w="4495" w:type="dxa"/>
            <w:hideMark/>
          </w:tcPr>
          <w:p w14:paraId="68C5C043" w14:textId="77777777" w:rsidR="00A8108B" w:rsidRPr="00A8108B" w:rsidRDefault="00A8108B" w:rsidP="00A8108B">
            <w:pPr>
              <w:rPr>
                <w:rFonts w:ascii="Poppins" w:hAnsi="Poppins" w:cs="Poppins"/>
                <w:sz w:val="20"/>
                <w:szCs w:val="20"/>
              </w:rPr>
            </w:pPr>
            <w:r w:rsidRPr="00A8108B">
              <w:rPr>
                <w:rFonts w:ascii="Poppins" w:hAnsi="Poppins" w:cs="Poppins"/>
                <w:sz w:val="20"/>
                <w:szCs w:val="20"/>
              </w:rPr>
              <w:t>Net Income</w:t>
            </w:r>
          </w:p>
        </w:tc>
        <w:tc>
          <w:tcPr>
            <w:tcW w:w="1710" w:type="dxa"/>
            <w:hideMark/>
          </w:tcPr>
          <w:p w14:paraId="056DAB73" w14:textId="0A82F981" w:rsidR="00A8108B" w:rsidRPr="00A8108B" w:rsidRDefault="00A8108B" w:rsidP="00A8108B">
            <w:pPr>
              <w:rPr>
                <w:rFonts w:ascii="Poppins" w:hAnsi="Poppins" w:cs="Poppins"/>
                <w:sz w:val="20"/>
                <w:szCs w:val="20"/>
              </w:rPr>
            </w:pPr>
            <w:r w:rsidRPr="00A8108B">
              <w:rPr>
                <w:rFonts w:ascii="Poppins" w:hAnsi="Poppins" w:cs="Poppins"/>
                <w:sz w:val="20"/>
                <w:szCs w:val="20"/>
              </w:rPr>
              <w:t>$4</w:t>
            </w:r>
            <w:r w:rsidR="00CF081C">
              <w:rPr>
                <w:rFonts w:ascii="Poppins" w:hAnsi="Poppins" w:cs="Poppins"/>
                <w:sz w:val="20"/>
                <w:szCs w:val="20"/>
              </w:rPr>
              <w:t>90</w:t>
            </w:r>
            <w:r w:rsidRPr="00A8108B">
              <w:rPr>
                <w:rFonts w:ascii="Poppins" w:hAnsi="Poppins" w:cs="Poppins"/>
                <w:sz w:val="20"/>
                <w:szCs w:val="20"/>
              </w:rPr>
              <w:t xml:space="preserve"> million</w:t>
            </w:r>
          </w:p>
        </w:tc>
        <w:tc>
          <w:tcPr>
            <w:tcW w:w="1710" w:type="dxa"/>
            <w:hideMark/>
          </w:tcPr>
          <w:p w14:paraId="5B571DD6" w14:textId="55E942C1" w:rsidR="00A8108B" w:rsidRPr="00A8108B" w:rsidRDefault="00A8108B" w:rsidP="00A8108B">
            <w:pPr>
              <w:rPr>
                <w:rFonts w:ascii="Poppins" w:hAnsi="Poppins" w:cs="Poppins"/>
                <w:sz w:val="20"/>
                <w:szCs w:val="20"/>
              </w:rPr>
            </w:pPr>
            <w:r w:rsidRPr="00A8108B">
              <w:rPr>
                <w:rFonts w:ascii="Poppins" w:hAnsi="Poppins" w:cs="Poppins"/>
                <w:sz w:val="20"/>
                <w:szCs w:val="20"/>
              </w:rPr>
              <w:t>$</w:t>
            </w:r>
            <w:r w:rsidR="00CF081C">
              <w:rPr>
                <w:rFonts w:ascii="Poppins" w:hAnsi="Poppins" w:cs="Poppins"/>
                <w:sz w:val="20"/>
                <w:szCs w:val="20"/>
              </w:rPr>
              <w:t>55</w:t>
            </w:r>
            <w:r w:rsidRPr="00A8108B">
              <w:rPr>
                <w:rFonts w:ascii="Poppins" w:hAnsi="Poppins" w:cs="Poppins"/>
                <w:sz w:val="20"/>
                <w:szCs w:val="20"/>
              </w:rPr>
              <w:t xml:space="preserve"> million</w:t>
            </w:r>
          </w:p>
        </w:tc>
        <w:tc>
          <w:tcPr>
            <w:tcW w:w="1329" w:type="dxa"/>
            <w:hideMark/>
          </w:tcPr>
          <w:p w14:paraId="38208A63" w14:textId="7F1DFFA8" w:rsidR="00A8108B" w:rsidRPr="00A8108B" w:rsidRDefault="00A8108B" w:rsidP="00A8108B">
            <w:pPr>
              <w:rPr>
                <w:rFonts w:ascii="Poppins" w:hAnsi="Poppins" w:cs="Poppins"/>
                <w:sz w:val="20"/>
                <w:szCs w:val="20"/>
              </w:rPr>
            </w:pPr>
            <w:r w:rsidRPr="00A8108B">
              <w:rPr>
                <w:rFonts w:ascii="Poppins" w:hAnsi="Poppins" w:cs="Poppins"/>
                <w:sz w:val="20"/>
                <w:szCs w:val="20"/>
              </w:rPr>
              <w:t>+</w:t>
            </w:r>
            <w:r w:rsidR="00CF081C">
              <w:rPr>
                <w:rFonts w:ascii="Poppins" w:hAnsi="Poppins" w:cs="Poppins"/>
                <w:sz w:val="20"/>
                <w:szCs w:val="20"/>
              </w:rPr>
              <w:t>7.7</w:t>
            </w:r>
            <w:r w:rsidRPr="00A8108B">
              <w:rPr>
                <w:rFonts w:ascii="Poppins" w:hAnsi="Poppins" w:cs="Poppins"/>
                <w:sz w:val="20"/>
                <w:szCs w:val="20"/>
              </w:rPr>
              <w:t>%</w:t>
            </w:r>
          </w:p>
        </w:tc>
      </w:tr>
    </w:tbl>
    <w:p w14:paraId="1B97750C" w14:textId="77777777" w:rsidR="00A8108B" w:rsidRPr="00A8108B" w:rsidRDefault="00A8108B" w:rsidP="00A8108B">
      <w:pPr>
        <w:spacing w:before="240"/>
        <w:rPr>
          <w:rFonts w:ascii="Poppins" w:hAnsi="Poppins" w:cs="Poppins"/>
          <w:b/>
          <w:bCs/>
          <w:sz w:val="22"/>
          <w:szCs w:val="22"/>
        </w:rPr>
      </w:pPr>
      <w:r w:rsidRPr="00A8108B">
        <w:rPr>
          <w:rFonts w:ascii="Poppins" w:hAnsi="Poppins" w:cs="Poppins"/>
          <w:b/>
          <w:bCs/>
          <w:sz w:val="22"/>
          <w:szCs w:val="22"/>
        </w:rPr>
        <w:t>Consolidated Statements of Comprehensive Income</w:t>
      </w:r>
    </w:p>
    <w:tbl>
      <w:tblPr>
        <w:tblStyle w:val="TableGrid"/>
        <w:tblW w:w="9294" w:type="dxa"/>
        <w:tblLook w:val="04A0" w:firstRow="1" w:lastRow="0" w:firstColumn="1" w:lastColumn="0" w:noHBand="0" w:noVBand="1"/>
      </w:tblPr>
      <w:tblGrid>
        <w:gridCol w:w="4495"/>
        <w:gridCol w:w="1710"/>
        <w:gridCol w:w="1710"/>
        <w:gridCol w:w="1379"/>
      </w:tblGrid>
      <w:tr w:rsidR="00A8108B" w:rsidRPr="00A8108B" w14:paraId="72E54940" w14:textId="77777777" w:rsidTr="00A8108B">
        <w:trPr>
          <w:trHeight w:val="322"/>
        </w:trPr>
        <w:tc>
          <w:tcPr>
            <w:tcW w:w="4495" w:type="dxa"/>
            <w:hideMark/>
          </w:tcPr>
          <w:p w14:paraId="1C721585"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w:t>
            </w:r>
          </w:p>
        </w:tc>
        <w:tc>
          <w:tcPr>
            <w:tcW w:w="1710" w:type="dxa"/>
            <w:hideMark/>
          </w:tcPr>
          <w:p w14:paraId="5FB03FB8"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Q2 2024</w:t>
            </w:r>
          </w:p>
        </w:tc>
        <w:tc>
          <w:tcPr>
            <w:tcW w:w="1710" w:type="dxa"/>
            <w:hideMark/>
          </w:tcPr>
          <w:p w14:paraId="07895CB9"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Q2 2023</w:t>
            </w:r>
          </w:p>
        </w:tc>
        <w:tc>
          <w:tcPr>
            <w:tcW w:w="1379" w:type="dxa"/>
            <w:hideMark/>
          </w:tcPr>
          <w:p w14:paraId="3BB6E7BE"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 Change</w:t>
            </w:r>
          </w:p>
        </w:tc>
      </w:tr>
      <w:tr w:rsidR="00A8108B" w:rsidRPr="00A8108B" w14:paraId="3AF24075" w14:textId="77777777" w:rsidTr="00A8108B">
        <w:trPr>
          <w:trHeight w:val="307"/>
        </w:trPr>
        <w:tc>
          <w:tcPr>
            <w:tcW w:w="4495" w:type="dxa"/>
            <w:hideMark/>
          </w:tcPr>
          <w:p w14:paraId="6138054C"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Net Interest Income</w:t>
            </w:r>
          </w:p>
        </w:tc>
        <w:tc>
          <w:tcPr>
            <w:tcW w:w="1710" w:type="dxa"/>
            <w:hideMark/>
          </w:tcPr>
          <w:p w14:paraId="3D3027C6" w14:textId="0ECBC07C" w:rsidR="00A8108B" w:rsidRPr="00A8108B" w:rsidRDefault="00CF081C" w:rsidP="00A8108B">
            <w:pPr>
              <w:rPr>
                <w:rFonts w:ascii="Poppins" w:hAnsi="Poppins" w:cs="Poppins"/>
                <w:sz w:val="22"/>
                <w:szCs w:val="22"/>
              </w:rPr>
            </w:pPr>
            <w:r>
              <w:rPr>
                <w:rFonts w:ascii="Poppins" w:hAnsi="Poppins" w:cs="Poppins"/>
                <w:sz w:val="22"/>
                <w:szCs w:val="22"/>
              </w:rPr>
              <w:t>$900 million</w:t>
            </w:r>
          </w:p>
        </w:tc>
        <w:tc>
          <w:tcPr>
            <w:tcW w:w="1710" w:type="dxa"/>
            <w:hideMark/>
          </w:tcPr>
          <w:p w14:paraId="7B72B7BC" w14:textId="7EBB1C43" w:rsidR="00A8108B" w:rsidRPr="00A8108B" w:rsidRDefault="00CF081C" w:rsidP="00A8108B">
            <w:pPr>
              <w:rPr>
                <w:rFonts w:ascii="Poppins" w:hAnsi="Poppins" w:cs="Poppins"/>
                <w:sz w:val="22"/>
                <w:szCs w:val="22"/>
              </w:rPr>
            </w:pPr>
            <w:r>
              <w:rPr>
                <w:rFonts w:ascii="Poppins" w:hAnsi="Poppins" w:cs="Poppins"/>
                <w:sz w:val="22"/>
                <w:szCs w:val="22"/>
              </w:rPr>
              <w:t>$680 million</w:t>
            </w:r>
          </w:p>
        </w:tc>
        <w:tc>
          <w:tcPr>
            <w:tcW w:w="1379" w:type="dxa"/>
            <w:hideMark/>
          </w:tcPr>
          <w:p w14:paraId="7AFF9B35" w14:textId="125599C4" w:rsidR="00A8108B" w:rsidRPr="00A8108B" w:rsidRDefault="00CF081C" w:rsidP="00A8108B">
            <w:pPr>
              <w:rPr>
                <w:rFonts w:ascii="Poppins" w:hAnsi="Poppins" w:cs="Poppins"/>
                <w:sz w:val="22"/>
                <w:szCs w:val="22"/>
              </w:rPr>
            </w:pPr>
            <w:r>
              <w:rPr>
                <w:rFonts w:ascii="Poppins" w:hAnsi="Poppins" w:cs="Poppins"/>
                <w:sz w:val="22"/>
                <w:szCs w:val="22"/>
              </w:rPr>
              <w:t>+4.7%</w:t>
            </w:r>
          </w:p>
        </w:tc>
      </w:tr>
      <w:tr w:rsidR="00A8108B" w:rsidRPr="00A8108B" w14:paraId="621E64B0" w14:textId="77777777" w:rsidTr="00A8108B">
        <w:trPr>
          <w:trHeight w:val="307"/>
        </w:trPr>
        <w:tc>
          <w:tcPr>
            <w:tcW w:w="4495" w:type="dxa"/>
            <w:hideMark/>
          </w:tcPr>
          <w:p w14:paraId="7A9F9A3F"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Fee Income</w:t>
            </w:r>
          </w:p>
        </w:tc>
        <w:tc>
          <w:tcPr>
            <w:tcW w:w="1710" w:type="dxa"/>
            <w:hideMark/>
          </w:tcPr>
          <w:p w14:paraId="7776422C" w14:textId="2F70AFD3" w:rsidR="00A8108B" w:rsidRDefault="00CF081C" w:rsidP="00CF081C">
            <w:pPr>
              <w:jc w:val="center"/>
              <w:rPr>
                <w:rFonts w:ascii="Poppins" w:hAnsi="Poppins" w:cs="Poppins"/>
                <w:sz w:val="22"/>
                <w:szCs w:val="22"/>
              </w:rPr>
            </w:pPr>
            <w:r>
              <w:rPr>
                <w:rFonts w:ascii="Poppins" w:hAnsi="Poppins" w:cs="Poppins"/>
                <w:sz w:val="22"/>
                <w:szCs w:val="22"/>
              </w:rPr>
              <w:t>$87 million</w:t>
            </w:r>
          </w:p>
          <w:p w14:paraId="57ED699B" w14:textId="6D09F947" w:rsidR="00CF081C" w:rsidRPr="00CF081C" w:rsidRDefault="00CF081C" w:rsidP="00CF081C">
            <w:pPr>
              <w:rPr>
                <w:rFonts w:ascii="Poppins" w:hAnsi="Poppins" w:cs="Poppins"/>
                <w:sz w:val="22"/>
                <w:szCs w:val="22"/>
              </w:rPr>
            </w:pPr>
          </w:p>
        </w:tc>
        <w:tc>
          <w:tcPr>
            <w:tcW w:w="1710" w:type="dxa"/>
            <w:hideMark/>
          </w:tcPr>
          <w:p w14:paraId="49F94FC7" w14:textId="68FE184C" w:rsidR="00A8108B" w:rsidRPr="00A8108B" w:rsidRDefault="00CF081C" w:rsidP="00A8108B">
            <w:pPr>
              <w:rPr>
                <w:rFonts w:ascii="Poppins" w:hAnsi="Poppins" w:cs="Poppins"/>
                <w:sz w:val="22"/>
                <w:szCs w:val="22"/>
              </w:rPr>
            </w:pPr>
            <w:r>
              <w:rPr>
                <w:rFonts w:ascii="Poppins" w:hAnsi="Poppins" w:cs="Poppins"/>
                <w:sz w:val="22"/>
                <w:szCs w:val="22"/>
              </w:rPr>
              <w:t>$81 million</w:t>
            </w:r>
          </w:p>
        </w:tc>
        <w:tc>
          <w:tcPr>
            <w:tcW w:w="1379" w:type="dxa"/>
            <w:hideMark/>
          </w:tcPr>
          <w:p w14:paraId="7C76516B" w14:textId="03086572" w:rsidR="00A8108B" w:rsidRPr="00A8108B" w:rsidRDefault="00CF081C" w:rsidP="00A8108B">
            <w:pPr>
              <w:rPr>
                <w:rFonts w:ascii="Poppins" w:hAnsi="Poppins" w:cs="Poppins"/>
                <w:sz w:val="22"/>
                <w:szCs w:val="22"/>
              </w:rPr>
            </w:pPr>
            <w:r>
              <w:rPr>
                <w:rFonts w:ascii="Poppins" w:hAnsi="Poppins" w:cs="Poppins"/>
                <w:sz w:val="22"/>
                <w:szCs w:val="22"/>
              </w:rPr>
              <w:t>+7.4%</w:t>
            </w:r>
          </w:p>
        </w:tc>
      </w:tr>
      <w:tr w:rsidR="00A8108B" w:rsidRPr="00A8108B" w14:paraId="10236DAC" w14:textId="77777777" w:rsidTr="00A8108B">
        <w:trPr>
          <w:trHeight w:val="322"/>
        </w:trPr>
        <w:tc>
          <w:tcPr>
            <w:tcW w:w="4495" w:type="dxa"/>
            <w:hideMark/>
          </w:tcPr>
          <w:p w14:paraId="4309A6A7"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Total Comprehensive Income</w:t>
            </w:r>
          </w:p>
        </w:tc>
        <w:tc>
          <w:tcPr>
            <w:tcW w:w="1710" w:type="dxa"/>
            <w:hideMark/>
          </w:tcPr>
          <w:p w14:paraId="644B3207" w14:textId="6BE91AFF" w:rsidR="00A8108B" w:rsidRPr="00A8108B" w:rsidRDefault="00CF081C" w:rsidP="00A8108B">
            <w:pPr>
              <w:rPr>
                <w:rFonts w:ascii="Poppins" w:hAnsi="Poppins" w:cs="Poppins"/>
                <w:sz w:val="22"/>
                <w:szCs w:val="22"/>
              </w:rPr>
            </w:pPr>
            <w:r>
              <w:rPr>
                <w:rFonts w:ascii="Poppins" w:hAnsi="Poppins" w:cs="Poppins"/>
                <w:sz w:val="22"/>
                <w:szCs w:val="22"/>
              </w:rPr>
              <w:t>$495 million</w:t>
            </w:r>
          </w:p>
        </w:tc>
        <w:tc>
          <w:tcPr>
            <w:tcW w:w="1710" w:type="dxa"/>
            <w:hideMark/>
          </w:tcPr>
          <w:p w14:paraId="33CB1CD2" w14:textId="36CD883B" w:rsidR="00A8108B" w:rsidRPr="00A8108B" w:rsidRDefault="00CF081C" w:rsidP="00A8108B">
            <w:pPr>
              <w:rPr>
                <w:rFonts w:ascii="Poppins" w:hAnsi="Poppins" w:cs="Poppins"/>
                <w:sz w:val="22"/>
                <w:szCs w:val="22"/>
              </w:rPr>
            </w:pPr>
            <w:r>
              <w:rPr>
                <w:rFonts w:ascii="Poppins" w:hAnsi="Poppins" w:cs="Poppins"/>
                <w:sz w:val="22"/>
                <w:szCs w:val="22"/>
              </w:rPr>
              <w:t xml:space="preserve">$460 million </w:t>
            </w:r>
          </w:p>
        </w:tc>
        <w:tc>
          <w:tcPr>
            <w:tcW w:w="1379" w:type="dxa"/>
            <w:hideMark/>
          </w:tcPr>
          <w:p w14:paraId="121D7BCF" w14:textId="553188C5" w:rsidR="00A8108B" w:rsidRPr="00A8108B" w:rsidRDefault="00CF081C" w:rsidP="00A8108B">
            <w:pPr>
              <w:rPr>
                <w:rFonts w:ascii="Poppins" w:hAnsi="Poppins" w:cs="Poppins"/>
                <w:sz w:val="22"/>
                <w:szCs w:val="22"/>
              </w:rPr>
            </w:pPr>
            <w:r>
              <w:rPr>
                <w:rFonts w:ascii="Poppins" w:hAnsi="Poppins" w:cs="Poppins"/>
                <w:sz w:val="22"/>
                <w:szCs w:val="22"/>
              </w:rPr>
              <w:t>+7.6%</w:t>
            </w:r>
          </w:p>
        </w:tc>
      </w:tr>
    </w:tbl>
    <w:p w14:paraId="3A331F2D" w14:textId="77777777" w:rsidR="00A8108B" w:rsidRPr="00A8108B" w:rsidRDefault="00A8108B" w:rsidP="00A8108B">
      <w:pPr>
        <w:spacing w:before="240"/>
        <w:rPr>
          <w:rFonts w:ascii="Poppins" w:hAnsi="Poppins" w:cs="Poppins"/>
          <w:b/>
          <w:bCs/>
          <w:sz w:val="22"/>
          <w:szCs w:val="22"/>
        </w:rPr>
      </w:pPr>
      <w:r w:rsidRPr="00A8108B">
        <w:rPr>
          <w:rFonts w:ascii="Poppins" w:hAnsi="Poppins" w:cs="Poppins"/>
          <w:b/>
          <w:bCs/>
          <w:sz w:val="22"/>
          <w:szCs w:val="22"/>
        </w:rPr>
        <w:t>Consolidated Balance Sheets</w:t>
      </w:r>
    </w:p>
    <w:tbl>
      <w:tblPr>
        <w:tblStyle w:val="TableGrid"/>
        <w:tblW w:w="9308" w:type="dxa"/>
        <w:tblLook w:val="04A0" w:firstRow="1" w:lastRow="0" w:firstColumn="1" w:lastColumn="0" w:noHBand="0" w:noVBand="1"/>
      </w:tblPr>
      <w:tblGrid>
        <w:gridCol w:w="4517"/>
        <w:gridCol w:w="1718"/>
        <w:gridCol w:w="1718"/>
        <w:gridCol w:w="1355"/>
      </w:tblGrid>
      <w:tr w:rsidR="00A8108B" w:rsidRPr="00A8108B" w14:paraId="32E1C47F" w14:textId="77777777" w:rsidTr="00A8108B">
        <w:trPr>
          <w:trHeight w:val="374"/>
        </w:trPr>
        <w:tc>
          <w:tcPr>
            <w:tcW w:w="4517" w:type="dxa"/>
            <w:hideMark/>
          </w:tcPr>
          <w:p w14:paraId="563FC3F5"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w:t>
            </w:r>
          </w:p>
        </w:tc>
        <w:tc>
          <w:tcPr>
            <w:tcW w:w="1718" w:type="dxa"/>
            <w:hideMark/>
          </w:tcPr>
          <w:p w14:paraId="674D7A33"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Q2 2024</w:t>
            </w:r>
          </w:p>
        </w:tc>
        <w:tc>
          <w:tcPr>
            <w:tcW w:w="1718" w:type="dxa"/>
            <w:hideMark/>
          </w:tcPr>
          <w:p w14:paraId="2255DB75"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Q2 2023</w:t>
            </w:r>
          </w:p>
        </w:tc>
        <w:tc>
          <w:tcPr>
            <w:tcW w:w="1355" w:type="dxa"/>
            <w:hideMark/>
          </w:tcPr>
          <w:p w14:paraId="52D0E4AE"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 Change</w:t>
            </w:r>
          </w:p>
        </w:tc>
      </w:tr>
      <w:tr w:rsidR="00A8108B" w:rsidRPr="00A8108B" w14:paraId="48573FBC" w14:textId="77777777" w:rsidTr="00A8108B">
        <w:trPr>
          <w:trHeight w:val="374"/>
        </w:trPr>
        <w:tc>
          <w:tcPr>
            <w:tcW w:w="4517" w:type="dxa"/>
            <w:hideMark/>
          </w:tcPr>
          <w:p w14:paraId="1A3C1B73"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Total Assets</w:t>
            </w:r>
          </w:p>
        </w:tc>
        <w:tc>
          <w:tcPr>
            <w:tcW w:w="1718" w:type="dxa"/>
            <w:hideMark/>
          </w:tcPr>
          <w:p w14:paraId="0EF5C00E" w14:textId="306E52BE" w:rsidR="00A8108B" w:rsidRPr="00A8108B" w:rsidRDefault="00A8108B" w:rsidP="00A8108B">
            <w:pPr>
              <w:rPr>
                <w:rFonts w:ascii="Poppins" w:hAnsi="Poppins" w:cs="Poppins"/>
                <w:sz w:val="22"/>
                <w:szCs w:val="22"/>
              </w:rPr>
            </w:pPr>
            <w:r w:rsidRPr="00A8108B">
              <w:rPr>
                <w:rFonts w:ascii="Poppins" w:hAnsi="Poppins" w:cs="Poppins"/>
                <w:sz w:val="22"/>
                <w:szCs w:val="22"/>
              </w:rPr>
              <w:t>$</w:t>
            </w:r>
            <w:r w:rsidR="00A20326">
              <w:rPr>
                <w:rFonts w:ascii="Poppins" w:hAnsi="Poppins" w:cs="Poppins"/>
                <w:sz w:val="22"/>
                <w:szCs w:val="22"/>
              </w:rPr>
              <w:t>47.5</w:t>
            </w:r>
            <w:r w:rsidRPr="00A8108B">
              <w:rPr>
                <w:rFonts w:ascii="Poppins" w:hAnsi="Poppins" w:cs="Poppins"/>
                <w:sz w:val="22"/>
                <w:szCs w:val="22"/>
              </w:rPr>
              <w:t xml:space="preserve"> billion</w:t>
            </w:r>
          </w:p>
        </w:tc>
        <w:tc>
          <w:tcPr>
            <w:tcW w:w="1718" w:type="dxa"/>
            <w:hideMark/>
          </w:tcPr>
          <w:p w14:paraId="04D5922F" w14:textId="67FC4F86" w:rsidR="00A8108B" w:rsidRPr="00A8108B" w:rsidRDefault="00A8108B" w:rsidP="00A8108B">
            <w:pPr>
              <w:rPr>
                <w:rFonts w:ascii="Poppins" w:hAnsi="Poppins" w:cs="Poppins"/>
                <w:sz w:val="22"/>
                <w:szCs w:val="22"/>
              </w:rPr>
            </w:pPr>
            <w:r w:rsidRPr="00A8108B">
              <w:rPr>
                <w:rFonts w:ascii="Poppins" w:hAnsi="Poppins" w:cs="Poppins"/>
                <w:sz w:val="22"/>
                <w:szCs w:val="22"/>
              </w:rPr>
              <w:t>$</w:t>
            </w:r>
            <w:r w:rsidR="00A20326">
              <w:rPr>
                <w:rFonts w:ascii="Poppins" w:hAnsi="Poppins" w:cs="Poppins"/>
                <w:sz w:val="22"/>
                <w:szCs w:val="22"/>
              </w:rPr>
              <w:t>45.0</w:t>
            </w:r>
            <w:r w:rsidRPr="00A8108B">
              <w:rPr>
                <w:rFonts w:ascii="Poppins" w:hAnsi="Poppins" w:cs="Poppins"/>
                <w:sz w:val="22"/>
                <w:szCs w:val="22"/>
              </w:rPr>
              <w:t xml:space="preserve"> billion</w:t>
            </w:r>
          </w:p>
        </w:tc>
        <w:tc>
          <w:tcPr>
            <w:tcW w:w="1355" w:type="dxa"/>
            <w:hideMark/>
          </w:tcPr>
          <w:p w14:paraId="1055D84A" w14:textId="2432E81F" w:rsidR="00A8108B" w:rsidRPr="00A8108B" w:rsidRDefault="00A8108B" w:rsidP="00A8108B">
            <w:pPr>
              <w:rPr>
                <w:rFonts w:ascii="Poppins" w:hAnsi="Poppins" w:cs="Poppins"/>
                <w:sz w:val="22"/>
                <w:szCs w:val="22"/>
              </w:rPr>
            </w:pPr>
            <w:r w:rsidRPr="00A8108B">
              <w:rPr>
                <w:rFonts w:ascii="Poppins" w:hAnsi="Poppins" w:cs="Poppins"/>
                <w:sz w:val="22"/>
                <w:szCs w:val="22"/>
              </w:rPr>
              <w:t>+</w:t>
            </w:r>
            <w:r w:rsidR="00A20326">
              <w:rPr>
                <w:rFonts w:ascii="Poppins" w:hAnsi="Poppins" w:cs="Poppins"/>
                <w:sz w:val="22"/>
                <w:szCs w:val="22"/>
              </w:rPr>
              <w:t>5.6</w:t>
            </w:r>
            <w:r w:rsidRPr="00A8108B">
              <w:rPr>
                <w:rFonts w:ascii="Poppins" w:hAnsi="Poppins" w:cs="Poppins"/>
                <w:sz w:val="22"/>
                <w:szCs w:val="22"/>
              </w:rPr>
              <w:t>%</w:t>
            </w:r>
          </w:p>
        </w:tc>
      </w:tr>
      <w:tr w:rsidR="00A8108B" w:rsidRPr="00A8108B" w14:paraId="7B6CCE73" w14:textId="77777777" w:rsidTr="00A8108B">
        <w:trPr>
          <w:trHeight w:val="391"/>
        </w:trPr>
        <w:tc>
          <w:tcPr>
            <w:tcW w:w="4517" w:type="dxa"/>
            <w:hideMark/>
          </w:tcPr>
          <w:p w14:paraId="5634F99E"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Total Liabilities</w:t>
            </w:r>
          </w:p>
        </w:tc>
        <w:tc>
          <w:tcPr>
            <w:tcW w:w="1718" w:type="dxa"/>
            <w:hideMark/>
          </w:tcPr>
          <w:p w14:paraId="495918EF" w14:textId="03C3312B" w:rsidR="00A8108B" w:rsidRPr="00A8108B" w:rsidRDefault="00A8108B" w:rsidP="00A8108B">
            <w:pPr>
              <w:rPr>
                <w:rFonts w:ascii="Poppins" w:hAnsi="Poppins" w:cs="Poppins"/>
                <w:sz w:val="22"/>
                <w:szCs w:val="22"/>
              </w:rPr>
            </w:pPr>
            <w:r w:rsidRPr="00A8108B">
              <w:rPr>
                <w:rFonts w:ascii="Poppins" w:hAnsi="Poppins" w:cs="Poppins"/>
                <w:sz w:val="22"/>
                <w:szCs w:val="22"/>
              </w:rPr>
              <w:t>$</w:t>
            </w:r>
            <w:r w:rsidR="00A20326">
              <w:rPr>
                <w:rFonts w:ascii="Poppins" w:hAnsi="Poppins" w:cs="Poppins"/>
                <w:sz w:val="22"/>
                <w:szCs w:val="22"/>
              </w:rPr>
              <w:t>41.0</w:t>
            </w:r>
            <w:r w:rsidRPr="00A8108B">
              <w:rPr>
                <w:rFonts w:ascii="Poppins" w:hAnsi="Poppins" w:cs="Poppins"/>
                <w:sz w:val="22"/>
                <w:szCs w:val="22"/>
              </w:rPr>
              <w:t xml:space="preserve"> billion</w:t>
            </w:r>
          </w:p>
        </w:tc>
        <w:tc>
          <w:tcPr>
            <w:tcW w:w="1718" w:type="dxa"/>
            <w:hideMark/>
          </w:tcPr>
          <w:p w14:paraId="7A1E704C" w14:textId="733B9DAA" w:rsidR="00A8108B" w:rsidRPr="00A8108B" w:rsidRDefault="00A8108B" w:rsidP="00A8108B">
            <w:pPr>
              <w:rPr>
                <w:rFonts w:ascii="Poppins" w:hAnsi="Poppins" w:cs="Poppins"/>
                <w:sz w:val="22"/>
                <w:szCs w:val="22"/>
              </w:rPr>
            </w:pPr>
            <w:r w:rsidRPr="00A8108B">
              <w:rPr>
                <w:rFonts w:ascii="Poppins" w:hAnsi="Poppins" w:cs="Poppins"/>
                <w:sz w:val="22"/>
                <w:szCs w:val="22"/>
              </w:rPr>
              <w:t>$</w:t>
            </w:r>
            <w:r w:rsidR="00A20326">
              <w:rPr>
                <w:rFonts w:ascii="Poppins" w:hAnsi="Poppins" w:cs="Poppins"/>
                <w:sz w:val="22"/>
                <w:szCs w:val="22"/>
              </w:rPr>
              <w:t>39.0</w:t>
            </w:r>
            <w:r w:rsidRPr="00A8108B">
              <w:rPr>
                <w:rFonts w:ascii="Poppins" w:hAnsi="Poppins" w:cs="Poppins"/>
                <w:sz w:val="22"/>
                <w:szCs w:val="22"/>
              </w:rPr>
              <w:t xml:space="preserve"> billion</w:t>
            </w:r>
          </w:p>
        </w:tc>
        <w:tc>
          <w:tcPr>
            <w:tcW w:w="1355" w:type="dxa"/>
            <w:hideMark/>
          </w:tcPr>
          <w:p w14:paraId="7CC70DE4" w14:textId="237EC8FC" w:rsidR="00A8108B" w:rsidRPr="00A8108B" w:rsidRDefault="00A8108B" w:rsidP="00A8108B">
            <w:pPr>
              <w:rPr>
                <w:rFonts w:ascii="Poppins" w:hAnsi="Poppins" w:cs="Poppins"/>
                <w:sz w:val="22"/>
                <w:szCs w:val="22"/>
              </w:rPr>
            </w:pPr>
            <w:r w:rsidRPr="00A8108B">
              <w:rPr>
                <w:rFonts w:ascii="Poppins" w:hAnsi="Poppins" w:cs="Poppins"/>
                <w:sz w:val="22"/>
                <w:szCs w:val="22"/>
              </w:rPr>
              <w:t>+5.</w:t>
            </w:r>
            <w:r w:rsidR="00A20326">
              <w:rPr>
                <w:rFonts w:ascii="Poppins" w:hAnsi="Poppins" w:cs="Poppins"/>
                <w:sz w:val="22"/>
                <w:szCs w:val="22"/>
              </w:rPr>
              <w:t>1</w:t>
            </w:r>
            <w:r w:rsidRPr="00A8108B">
              <w:rPr>
                <w:rFonts w:ascii="Poppins" w:hAnsi="Poppins" w:cs="Poppins"/>
                <w:sz w:val="22"/>
                <w:szCs w:val="22"/>
              </w:rPr>
              <w:t>%</w:t>
            </w:r>
          </w:p>
        </w:tc>
      </w:tr>
      <w:tr w:rsidR="00A8108B" w:rsidRPr="00A8108B" w14:paraId="34F2D2EE" w14:textId="77777777" w:rsidTr="00A8108B">
        <w:trPr>
          <w:trHeight w:val="355"/>
        </w:trPr>
        <w:tc>
          <w:tcPr>
            <w:tcW w:w="4517" w:type="dxa"/>
            <w:hideMark/>
          </w:tcPr>
          <w:p w14:paraId="1838FDE7"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Total Shareholders' Equity</w:t>
            </w:r>
          </w:p>
        </w:tc>
        <w:tc>
          <w:tcPr>
            <w:tcW w:w="1718" w:type="dxa"/>
            <w:hideMark/>
          </w:tcPr>
          <w:p w14:paraId="5D713E97" w14:textId="2BA46AD1" w:rsidR="00A8108B" w:rsidRPr="00A8108B" w:rsidRDefault="00A8108B" w:rsidP="00A8108B">
            <w:pPr>
              <w:rPr>
                <w:rFonts w:ascii="Poppins" w:hAnsi="Poppins" w:cs="Poppins"/>
                <w:sz w:val="22"/>
                <w:szCs w:val="22"/>
              </w:rPr>
            </w:pPr>
            <w:r w:rsidRPr="00A8108B">
              <w:rPr>
                <w:rFonts w:ascii="Poppins" w:hAnsi="Poppins" w:cs="Poppins"/>
                <w:sz w:val="22"/>
                <w:szCs w:val="22"/>
              </w:rPr>
              <w:t>$</w:t>
            </w:r>
            <w:r w:rsidR="00A20326">
              <w:rPr>
                <w:rFonts w:ascii="Poppins" w:hAnsi="Poppins" w:cs="Poppins"/>
                <w:sz w:val="22"/>
                <w:szCs w:val="22"/>
              </w:rPr>
              <w:t>6</w:t>
            </w:r>
            <w:r w:rsidRPr="00A8108B">
              <w:rPr>
                <w:rFonts w:ascii="Poppins" w:hAnsi="Poppins" w:cs="Poppins"/>
                <w:sz w:val="22"/>
                <w:szCs w:val="22"/>
              </w:rPr>
              <w:t>.5 billion</w:t>
            </w:r>
          </w:p>
        </w:tc>
        <w:tc>
          <w:tcPr>
            <w:tcW w:w="1718" w:type="dxa"/>
            <w:hideMark/>
          </w:tcPr>
          <w:p w14:paraId="5C7AFF1F" w14:textId="43085FDC" w:rsidR="00A8108B" w:rsidRPr="00A8108B" w:rsidRDefault="00A8108B" w:rsidP="00A8108B">
            <w:pPr>
              <w:rPr>
                <w:rFonts w:ascii="Poppins" w:hAnsi="Poppins" w:cs="Poppins"/>
                <w:sz w:val="22"/>
                <w:szCs w:val="22"/>
              </w:rPr>
            </w:pPr>
            <w:r w:rsidRPr="00A8108B">
              <w:rPr>
                <w:rFonts w:ascii="Poppins" w:hAnsi="Poppins" w:cs="Poppins"/>
                <w:sz w:val="22"/>
                <w:szCs w:val="22"/>
              </w:rPr>
              <w:t>$</w:t>
            </w:r>
            <w:r w:rsidR="00A20326">
              <w:rPr>
                <w:rFonts w:ascii="Poppins" w:hAnsi="Poppins" w:cs="Poppins"/>
                <w:sz w:val="22"/>
                <w:szCs w:val="22"/>
              </w:rPr>
              <w:t>6</w:t>
            </w:r>
            <w:r w:rsidRPr="00A8108B">
              <w:rPr>
                <w:rFonts w:ascii="Poppins" w:hAnsi="Poppins" w:cs="Poppins"/>
                <w:sz w:val="22"/>
                <w:szCs w:val="22"/>
              </w:rPr>
              <w:t xml:space="preserve"> billion</w:t>
            </w:r>
          </w:p>
        </w:tc>
        <w:tc>
          <w:tcPr>
            <w:tcW w:w="1355" w:type="dxa"/>
            <w:hideMark/>
          </w:tcPr>
          <w:p w14:paraId="759A210C" w14:textId="22D09BEE" w:rsidR="00A8108B" w:rsidRPr="00A8108B" w:rsidRDefault="00A8108B" w:rsidP="00A8108B">
            <w:pPr>
              <w:rPr>
                <w:rFonts w:ascii="Poppins" w:hAnsi="Poppins" w:cs="Poppins"/>
                <w:sz w:val="22"/>
                <w:szCs w:val="22"/>
              </w:rPr>
            </w:pPr>
            <w:r w:rsidRPr="00A8108B">
              <w:rPr>
                <w:rFonts w:ascii="Poppins" w:hAnsi="Poppins" w:cs="Poppins"/>
                <w:sz w:val="22"/>
                <w:szCs w:val="22"/>
              </w:rPr>
              <w:t>+</w:t>
            </w:r>
            <w:r w:rsidR="00A20326">
              <w:rPr>
                <w:rFonts w:ascii="Poppins" w:hAnsi="Poppins" w:cs="Poppins"/>
                <w:sz w:val="22"/>
                <w:szCs w:val="22"/>
              </w:rPr>
              <w:t>8.3</w:t>
            </w:r>
            <w:r w:rsidRPr="00A8108B">
              <w:rPr>
                <w:rFonts w:ascii="Poppins" w:hAnsi="Poppins" w:cs="Poppins"/>
                <w:sz w:val="22"/>
                <w:szCs w:val="22"/>
              </w:rPr>
              <w:t>%</w:t>
            </w:r>
          </w:p>
        </w:tc>
      </w:tr>
    </w:tbl>
    <w:p w14:paraId="6292BAD1" w14:textId="77777777" w:rsidR="00A8108B" w:rsidRPr="00A8108B" w:rsidRDefault="00A8108B" w:rsidP="00A8108B">
      <w:pPr>
        <w:spacing w:before="240"/>
        <w:rPr>
          <w:rFonts w:ascii="Poppins" w:hAnsi="Poppins" w:cs="Poppins"/>
          <w:b/>
          <w:bCs/>
          <w:sz w:val="22"/>
          <w:szCs w:val="22"/>
        </w:rPr>
      </w:pPr>
      <w:r w:rsidRPr="00A8108B">
        <w:rPr>
          <w:rFonts w:ascii="Poppins" w:hAnsi="Poppins" w:cs="Poppins"/>
          <w:b/>
          <w:bCs/>
          <w:sz w:val="22"/>
          <w:szCs w:val="22"/>
        </w:rPr>
        <w:t>Notes to Consolidated Financial Statements</w:t>
      </w:r>
    </w:p>
    <w:p w14:paraId="3215D345" w14:textId="77777777" w:rsidR="00A8108B" w:rsidRPr="00A8108B" w:rsidRDefault="00A8108B" w:rsidP="00A8108B">
      <w:pPr>
        <w:numPr>
          <w:ilvl w:val="0"/>
          <w:numId w:val="1"/>
        </w:numPr>
        <w:rPr>
          <w:rFonts w:ascii="Poppins" w:hAnsi="Poppins" w:cs="Poppins"/>
          <w:sz w:val="22"/>
          <w:szCs w:val="22"/>
        </w:rPr>
      </w:pPr>
      <w:r w:rsidRPr="00A8108B">
        <w:rPr>
          <w:rFonts w:ascii="Poppins" w:hAnsi="Poppins" w:cs="Poppins"/>
          <w:b/>
          <w:bCs/>
          <w:sz w:val="22"/>
          <w:szCs w:val="22"/>
        </w:rPr>
        <w:t>Revenue Recognition</w:t>
      </w:r>
      <w:r w:rsidRPr="00A8108B">
        <w:rPr>
          <w:rFonts w:ascii="Poppins" w:hAnsi="Poppins" w:cs="Poppins"/>
          <w:sz w:val="22"/>
          <w:szCs w:val="22"/>
        </w:rPr>
        <w:t>: Revenue is recognized as services are provided and upon the performance of contractual obligations.</w:t>
      </w:r>
    </w:p>
    <w:p w14:paraId="0A56D4C3" w14:textId="77777777" w:rsidR="00A8108B" w:rsidRPr="00A8108B" w:rsidRDefault="00A8108B" w:rsidP="00A8108B">
      <w:pPr>
        <w:numPr>
          <w:ilvl w:val="0"/>
          <w:numId w:val="1"/>
        </w:numPr>
        <w:rPr>
          <w:rFonts w:ascii="Poppins" w:hAnsi="Poppins" w:cs="Poppins"/>
          <w:sz w:val="22"/>
          <w:szCs w:val="22"/>
        </w:rPr>
      </w:pPr>
      <w:r w:rsidRPr="00A8108B">
        <w:rPr>
          <w:rFonts w:ascii="Poppins" w:hAnsi="Poppins" w:cs="Poppins"/>
          <w:b/>
          <w:bCs/>
          <w:sz w:val="22"/>
          <w:szCs w:val="22"/>
        </w:rPr>
        <w:t>Significant Accounting Policies</w:t>
      </w:r>
      <w:r w:rsidRPr="00A8108B">
        <w:rPr>
          <w:rFonts w:ascii="Poppins" w:hAnsi="Poppins" w:cs="Poppins"/>
          <w:sz w:val="22"/>
          <w:szCs w:val="22"/>
        </w:rPr>
        <w:t>: Investments in digital transformation and expansion into new markets are capitalized where applicable. A shift toward digital automation has impacted operational efficiency metrics.</w:t>
      </w:r>
    </w:p>
    <w:p w14:paraId="402CF663"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135749A7">
          <v:rect id="_x0000_i1035" alt="" style="width:468pt;height:.05pt;mso-width-percent:0;mso-height-percent:0;mso-width-percent:0;mso-height-percent:0" o:hralign="center" o:hrstd="t" o:hr="t" fillcolor="#a0a0a0" stroked="f"/>
        </w:pict>
      </w:r>
    </w:p>
    <w:p w14:paraId="38EF986D" w14:textId="77777777" w:rsidR="00A8108B" w:rsidRDefault="00A8108B" w:rsidP="00A8108B">
      <w:pPr>
        <w:rPr>
          <w:rFonts w:ascii="Poppins" w:hAnsi="Poppins" w:cs="Poppins"/>
          <w:b/>
          <w:bCs/>
          <w:sz w:val="22"/>
          <w:szCs w:val="22"/>
        </w:rPr>
      </w:pPr>
      <w:r>
        <w:rPr>
          <w:rFonts w:ascii="Poppins" w:hAnsi="Poppins" w:cs="Poppins"/>
          <w:b/>
          <w:bCs/>
          <w:sz w:val="22"/>
          <w:szCs w:val="22"/>
        </w:rPr>
        <w:br w:type="page"/>
      </w:r>
    </w:p>
    <w:p w14:paraId="17F4FAA0" w14:textId="04F4A8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lastRenderedPageBreak/>
        <w:t>Item 2. Management’s Discussion and Analysis of Financial Condition and Results of Operations</w:t>
      </w:r>
    </w:p>
    <w:p w14:paraId="2C3F8A9E" w14:textId="77777777" w:rsidR="00A8108B" w:rsidRPr="00A8108B" w:rsidRDefault="00A8108B" w:rsidP="00A8108B">
      <w:pPr>
        <w:rPr>
          <w:rFonts w:ascii="Poppins" w:hAnsi="Poppins" w:cs="Poppins"/>
          <w:sz w:val="22"/>
          <w:szCs w:val="22"/>
        </w:rPr>
      </w:pPr>
      <w:r w:rsidRPr="00A8108B">
        <w:rPr>
          <w:rFonts w:ascii="Poppins" w:hAnsi="Poppins" w:cs="Poppins"/>
          <w:b/>
          <w:bCs/>
          <w:sz w:val="22"/>
          <w:szCs w:val="22"/>
        </w:rPr>
        <w:t>Overview</w:t>
      </w:r>
      <w:r w:rsidRPr="00A8108B">
        <w:rPr>
          <w:rFonts w:ascii="Poppins" w:hAnsi="Poppins" w:cs="Poppins"/>
          <w:sz w:val="22"/>
          <w:szCs w:val="22"/>
        </w:rPr>
        <w:br/>
        <w:t>Acme Bank’s Platinum Credit Card division has seen solid performance during Q2 2024. Strong customer acquisition rates, efficient cost management, and continued investment in digital transformation have positioned the division for sustained growth, despite economic headwinds and competitive pressures.</w:t>
      </w:r>
    </w:p>
    <w:p w14:paraId="1CB5959C" w14:textId="77777777" w:rsidR="00A8108B" w:rsidRPr="00A8108B" w:rsidRDefault="00A8108B" w:rsidP="00A8108B">
      <w:pPr>
        <w:rPr>
          <w:rFonts w:ascii="Poppins" w:hAnsi="Poppins" w:cs="Poppins"/>
          <w:sz w:val="22"/>
          <w:szCs w:val="22"/>
        </w:rPr>
      </w:pPr>
      <w:r w:rsidRPr="00A8108B">
        <w:rPr>
          <w:rFonts w:ascii="Poppins" w:hAnsi="Poppins" w:cs="Poppins"/>
          <w:b/>
          <w:bCs/>
          <w:sz w:val="22"/>
          <w:szCs w:val="22"/>
        </w:rPr>
        <w:t>Key Performance Metrics</w:t>
      </w:r>
    </w:p>
    <w:p w14:paraId="7D393CB6" w14:textId="77777777" w:rsidR="00A8108B" w:rsidRPr="00A8108B" w:rsidRDefault="00A8108B" w:rsidP="00A8108B">
      <w:pPr>
        <w:numPr>
          <w:ilvl w:val="0"/>
          <w:numId w:val="2"/>
        </w:numPr>
        <w:rPr>
          <w:rFonts w:ascii="Poppins" w:hAnsi="Poppins" w:cs="Poppins"/>
          <w:sz w:val="22"/>
          <w:szCs w:val="22"/>
        </w:rPr>
      </w:pPr>
      <w:r w:rsidRPr="00A8108B">
        <w:rPr>
          <w:rFonts w:ascii="Poppins" w:hAnsi="Poppins" w:cs="Poppins"/>
          <w:b/>
          <w:bCs/>
          <w:sz w:val="22"/>
          <w:szCs w:val="22"/>
        </w:rPr>
        <w:t>Net Interest Margin (NIM)</w:t>
      </w:r>
      <w:r w:rsidRPr="00A8108B">
        <w:rPr>
          <w:rFonts w:ascii="Poppins" w:hAnsi="Poppins" w:cs="Poppins"/>
          <w:sz w:val="22"/>
          <w:szCs w:val="22"/>
        </w:rPr>
        <w:t>: Slightly above target at 3.96%, driven by favorable economic conditions and prudent financial management.</w:t>
      </w:r>
    </w:p>
    <w:p w14:paraId="17DB176B" w14:textId="77777777" w:rsidR="00A8108B" w:rsidRPr="00A8108B" w:rsidRDefault="00A8108B" w:rsidP="00A8108B">
      <w:pPr>
        <w:numPr>
          <w:ilvl w:val="0"/>
          <w:numId w:val="2"/>
        </w:numPr>
        <w:rPr>
          <w:rFonts w:ascii="Poppins" w:hAnsi="Poppins" w:cs="Poppins"/>
          <w:sz w:val="22"/>
          <w:szCs w:val="22"/>
        </w:rPr>
      </w:pPr>
      <w:r w:rsidRPr="00A8108B">
        <w:rPr>
          <w:rFonts w:ascii="Poppins" w:hAnsi="Poppins" w:cs="Poppins"/>
          <w:b/>
          <w:bCs/>
          <w:sz w:val="22"/>
          <w:szCs w:val="22"/>
        </w:rPr>
        <w:t>Fee Income</w:t>
      </w:r>
      <w:r w:rsidRPr="00A8108B">
        <w:rPr>
          <w:rFonts w:ascii="Poppins" w:hAnsi="Poppins" w:cs="Poppins"/>
          <w:sz w:val="22"/>
          <w:szCs w:val="22"/>
        </w:rPr>
        <w:t>: Fee income fell short of target, attributed to the strategic decision to prioritize account growth over short-term fee generation.</w:t>
      </w:r>
    </w:p>
    <w:p w14:paraId="4B1E1CBE" w14:textId="77777777" w:rsidR="00A8108B" w:rsidRPr="00A8108B" w:rsidRDefault="00A8108B" w:rsidP="00A8108B">
      <w:pPr>
        <w:numPr>
          <w:ilvl w:val="0"/>
          <w:numId w:val="2"/>
        </w:numPr>
        <w:rPr>
          <w:rFonts w:ascii="Poppins" w:hAnsi="Poppins" w:cs="Poppins"/>
          <w:sz w:val="22"/>
          <w:szCs w:val="22"/>
        </w:rPr>
      </w:pPr>
      <w:r w:rsidRPr="00A8108B">
        <w:rPr>
          <w:rFonts w:ascii="Poppins" w:hAnsi="Poppins" w:cs="Poppins"/>
          <w:b/>
          <w:bCs/>
          <w:sz w:val="22"/>
          <w:szCs w:val="22"/>
        </w:rPr>
        <w:t>Customer Acquisition</w:t>
      </w:r>
      <w:r w:rsidRPr="00A8108B">
        <w:rPr>
          <w:rFonts w:ascii="Poppins" w:hAnsi="Poppins" w:cs="Poppins"/>
          <w:sz w:val="22"/>
          <w:szCs w:val="22"/>
        </w:rPr>
        <w:t>: Account growth exceeded targets, with a new account growth rate of 14.15%, spurred by successful marketing and expansion strategies in Latin America.</w:t>
      </w:r>
    </w:p>
    <w:p w14:paraId="5D4179B1" w14:textId="77777777" w:rsidR="00A8108B" w:rsidRPr="00A8108B" w:rsidRDefault="00A8108B" w:rsidP="00A8108B">
      <w:pPr>
        <w:rPr>
          <w:rFonts w:ascii="Poppins" w:hAnsi="Poppins" w:cs="Poppins"/>
          <w:sz w:val="22"/>
          <w:szCs w:val="22"/>
        </w:rPr>
      </w:pPr>
      <w:r w:rsidRPr="00A8108B">
        <w:rPr>
          <w:rFonts w:ascii="Poppins" w:hAnsi="Poppins" w:cs="Poppins"/>
          <w:b/>
          <w:bCs/>
          <w:sz w:val="22"/>
          <w:szCs w:val="22"/>
        </w:rPr>
        <w:t>Operational Efficiency</w:t>
      </w:r>
    </w:p>
    <w:p w14:paraId="33E65EE2" w14:textId="77777777" w:rsidR="00A8108B" w:rsidRPr="00A8108B" w:rsidRDefault="00A8108B" w:rsidP="00A8108B">
      <w:pPr>
        <w:numPr>
          <w:ilvl w:val="0"/>
          <w:numId w:val="3"/>
        </w:numPr>
        <w:rPr>
          <w:rFonts w:ascii="Poppins" w:hAnsi="Poppins" w:cs="Poppins"/>
          <w:sz w:val="22"/>
          <w:szCs w:val="22"/>
        </w:rPr>
      </w:pPr>
      <w:r w:rsidRPr="00A8108B">
        <w:rPr>
          <w:rFonts w:ascii="Poppins" w:hAnsi="Poppins" w:cs="Poppins"/>
          <w:b/>
          <w:bCs/>
          <w:sz w:val="22"/>
          <w:szCs w:val="22"/>
        </w:rPr>
        <w:t>Average Handling Time (AHT)</w:t>
      </w:r>
      <w:r w:rsidRPr="00A8108B">
        <w:rPr>
          <w:rFonts w:ascii="Poppins" w:hAnsi="Poppins" w:cs="Poppins"/>
          <w:sz w:val="22"/>
          <w:szCs w:val="22"/>
        </w:rPr>
        <w:t>: AI investments have reduced AHT to 7.26 minutes, significantly outperforming the target of 8.1 minutes.</w:t>
      </w:r>
    </w:p>
    <w:p w14:paraId="27D2C6F0" w14:textId="77777777" w:rsidR="00A8108B" w:rsidRPr="00A8108B" w:rsidRDefault="00A8108B" w:rsidP="00A8108B">
      <w:pPr>
        <w:numPr>
          <w:ilvl w:val="0"/>
          <w:numId w:val="3"/>
        </w:numPr>
        <w:rPr>
          <w:rFonts w:ascii="Poppins" w:hAnsi="Poppins" w:cs="Poppins"/>
          <w:sz w:val="22"/>
          <w:szCs w:val="22"/>
        </w:rPr>
      </w:pPr>
      <w:r w:rsidRPr="00A8108B">
        <w:rPr>
          <w:rFonts w:ascii="Poppins" w:hAnsi="Poppins" w:cs="Poppins"/>
          <w:b/>
          <w:bCs/>
          <w:sz w:val="22"/>
          <w:szCs w:val="22"/>
        </w:rPr>
        <w:t>First Call Resolution (FCR)</w:t>
      </w:r>
      <w:r w:rsidRPr="00A8108B">
        <w:rPr>
          <w:rFonts w:ascii="Poppins" w:hAnsi="Poppins" w:cs="Poppins"/>
          <w:sz w:val="22"/>
          <w:szCs w:val="22"/>
        </w:rPr>
        <w:t>: Achieved 92.04%, reflecting improved customer service and operational systems.</w:t>
      </w:r>
    </w:p>
    <w:p w14:paraId="5C26BFED"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16B15A1F">
          <v:rect id="_x0000_i1034" alt="" style="width:468pt;height:.05pt;mso-width-percent:0;mso-height-percent:0;mso-width-percent:0;mso-height-percent:0" o:hralign="center" o:hrstd="t" o:hr="t" fillcolor="#a0a0a0" stroked="f"/>
        </w:pict>
      </w:r>
    </w:p>
    <w:p w14:paraId="559DBFA9"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 3. Quantitative and Qualitative Disclosures About Market Risk</w:t>
      </w:r>
    </w:p>
    <w:p w14:paraId="1FCEAB0F" w14:textId="77777777" w:rsidR="00A8108B" w:rsidRPr="00A8108B" w:rsidRDefault="00A8108B" w:rsidP="00A8108B">
      <w:pPr>
        <w:rPr>
          <w:rFonts w:ascii="Poppins" w:hAnsi="Poppins" w:cs="Poppins"/>
          <w:sz w:val="22"/>
          <w:szCs w:val="22"/>
        </w:rPr>
      </w:pPr>
      <w:r w:rsidRPr="00A8108B">
        <w:rPr>
          <w:rFonts w:ascii="Poppins" w:hAnsi="Poppins" w:cs="Poppins"/>
          <w:b/>
          <w:bCs/>
          <w:sz w:val="22"/>
          <w:szCs w:val="22"/>
        </w:rPr>
        <w:t>Credit Quality</w:t>
      </w:r>
    </w:p>
    <w:p w14:paraId="5685312B" w14:textId="77777777" w:rsidR="00A8108B" w:rsidRPr="00A8108B" w:rsidRDefault="00A8108B" w:rsidP="00A8108B">
      <w:pPr>
        <w:numPr>
          <w:ilvl w:val="0"/>
          <w:numId w:val="4"/>
        </w:numPr>
        <w:rPr>
          <w:rFonts w:ascii="Poppins" w:hAnsi="Poppins" w:cs="Poppins"/>
          <w:sz w:val="22"/>
          <w:szCs w:val="22"/>
        </w:rPr>
      </w:pPr>
      <w:r w:rsidRPr="00A8108B">
        <w:rPr>
          <w:rFonts w:ascii="Poppins" w:hAnsi="Poppins" w:cs="Poppins"/>
          <w:sz w:val="22"/>
          <w:szCs w:val="22"/>
        </w:rPr>
        <w:t>The expansion into Latin American markets has increased the delinquency rate to 0.52%. Although this exceeds the target, proactive risk management efforts are in place.</w:t>
      </w:r>
    </w:p>
    <w:p w14:paraId="4EBC2CD7" w14:textId="77777777" w:rsidR="00A8108B" w:rsidRPr="00A8108B" w:rsidRDefault="00A8108B" w:rsidP="00A8108B">
      <w:pPr>
        <w:rPr>
          <w:rFonts w:ascii="Poppins" w:hAnsi="Poppins" w:cs="Poppins"/>
          <w:sz w:val="22"/>
          <w:szCs w:val="22"/>
        </w:rPr>
      </w:pPr>
      <w:r w:rsidRPr="00A8108B">
        <w:rPr>
          <w:rFonts w:ascii="Poppins" w:hAnsi="Poppins" w:cs="Poppins"/>
          <w:b/>
          <w:bCs/>
          <w:sz w:val="22"/>
          <w:szCs w:val="22"/>
        </w:rPr>
        <w:t>Competitor Analysis</w:t>
      </w:r>
    </w:p>
    <w:p w14:paraId="2411155D" w14:textId="77777777" w:rsidR="00A8108B" w:rsidRPr="00A8108B" w:rsidRDefault="00A8108B" w:rsidP="00A8108B">
      <w:pPr>
        <w:numPr>
          <w:ilvl w:val="0"/>
          <w:numId w:val="5"/>
        </w:numPr>
        <w:rPr>
          <w:rFonts w:ascii="Poppins" w:hAnsi="Poppins" w:cs="Poppins"/>
          <w:sz w:val="22"/>
          <w:szCs w:val="22"/>
        </w:rPr>
      </w:pPr>
      <w:r w:rsidRPr="00A8108B">
        <w:rPr>
          <w:rFonts w:ascii="Poppins" w:hAnsi="Poppins" w:cs="Poppins"/>
          <w:b/>
          <w:bCs/>
          <w:sz w:val="22"/>
          <w:szCs w:val="22"/>
        </w:rPr>
        <w:t>American Express</w:t>
      </w:r>
      <w:r w:rsidRPr="00A8108B">
        <w:rPr>
          <w:rFonts w:ascii="Poppins" w:hAnsi="Poppins" w:cs="Poppins"/>
          <w:sz w:val="22"/>
          <w:szCs w:val="22"/>
        </w:rPr>
        <w:t xml:space="preserve"> and </w:t>
      </w:r>
      <w:r w:rsidRPr="00A8108B">
        <w:rPr>
          <w:rFonts w:ascii="Poppins" w:hAnsi="Poppins" w:cs="Poppins"/>
          <w:b/>
          <w:bCs/>
          <w:sz w:val="22"/>
          <w:szCs w:val="22"/>
        </w:rPr>
        <w:t>Chase Sapphire</w:t>
      </w:r>
      <w:r w:rsidRPr="00A8108B">
        <w:rPr>
          <w:rFonts w:ascii="Poppins" w:hAnsi="Poppins" w:cs="Poppins"/>
          <w:sz w:val="22"/>
          <w:szCs w:val="22"/>
        </w:rPr>
        <w:t xml:space="preserve"> continue to dominate the premium credit card market. However, Acme Bank maintains a competitive edge through superior customer service and higher retention rates.</w:t>
      </w:r>
    </w:p>
    <w:p w14:paraId="3E6D61C8"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2CDB118F">
          <v:rect id="_x0000_i1033" alt="" style="width:468pt;height:.05pt;mso-width-percent:0;mso-height-percent:0;mso-width-percent:0;mso-height-percent:0" o:hralign="center" o:hrstd="t" o:hr="t" fillcolor="#a0a0a0" stroked="f"/>
        </w:pict>
      </w:r>
    </w:p>
    <w:p w14:paraId="30CBBC06" w14:textId="77777777" w:rsidR="00A8108B" w:rsidRDefault="00A8108B" w:rsidP="00A8108B">
      <w:pPr>
        <w:rPr>
          <w:rFonts w:ascii="Poppins" w:hAnsi="Poppins" w:cs="Poppins"/>
          <w:b/>
          <w:bCs/>
          <w:sz w:val="22"/>
          <w:szCs w:val="22"/>
        </w:rPr>
      </w:pPr>
      <w:r>
        <w:rPr>
          <w:rFonts w:ascii="Poppins" w:hAnsi="Poppins" w:cs="Poppins"/>
          <w:b/>
          <w:bCs/>
          <w:sz w:val="22"/>
          <w:szCs w:val="22"/>
        </w:rPr>
        <w:br w:type="page"/>
      </w:r>
    </w:p>
    <w:p w14:paraId="054D1D10" w14:textId="462266BA" w:rsidR="00A8108B" w:rsidRPr="00A8108B" w:rsidRDefault="00A8108B" w:rsidP="00A8108B">
      <w:pPr>
        <w:rPr>
          <w:rFonts w:ascii="Poppins" w:hAnsi="Poppins" w:cs="Poppins"/>
          <w:b/>
          <w:bCs/>
          <w:sz w:val="22"/>
          <w:szCs w:val="22"/>
        </w:rPr>
      </w:pPr>
      <w:r w:rsidRPr="00A8108B">
        <w:rPr>
          <w:rFonts w:ascii="Poppins" w:hAnsi="Poppins" w:cs="Poppins"/>
          <w:b/>
          <w:bCs/>
          <w:sz w:val="22"/>
          <w:szCs w:val="22"/>
        </w:rPr>
        <w:lastRenderedPageBreak/>
        <w:t>Item 4. Controls and Procedures</w:t>
      </w:r>
    </w:p>
    <w:p w14:paraId="7A609566" w14:textId="77777777" w:rsidR="00A8108B" w:rsidRPr="00A8108B" w:rsidRDefault="00A8108B" w:rsidP="00A8108B">
      <w:pPr>
        <w:rPr>
          <w:rFonts w:ascii="Poppins" w:hAnsi="Poppins" w:cs="Poppins"/>
          <w:sz w:val="22"/>
          <w:szCs w:val="22"/>
        </w:rPr>
      </w:pPr>
      <w:r w:rsidRPr="00A8108B">
        <w:rPr>
          <w:rFonts w:ascii="Poppins" w:hAnsi="Poppins" w:cs="Poppins"/>
          <w:b/>
          <w:bCs/>
          <w:sz w:val="22"/>
          <w:szCs w:val="22"/>
        </w:rPr>
        <w:t>Disclosure Controls and Procedures</w:t>
      </w:r>
      <w:r w:rsidRPr="00A8108B">
        <w:rPr>
          <w:rFonts w:ascii="Poppins" w:hAnsi="Poppins" w:cs="Poppins"/>
          <w:sz w:val="22"/>
          <w:szCs w:val="22"/>
        </w:rPr>
        <w:br/>
        <w:t>Acme Bank’s management has evaluated the effectiveness of its disclosure controls and procedures. The company believes that the current controls provide a reasonable level of assurance that necessary information is communicated effectively and in a timely manner.</w:t>
      </w:r>
    </w:p>
    <w:p w14:paraId="665058CC" w14:textId="77777777" w:rsidR="00A8108B" w:rsidRPr="00A8108B" w:rsidRDefault="00A8108B" w:rsidP="00A8108B">
      <w:pPr>
        <w:rPr>
          <w:rFonts w:ascii="Poppins" w:hAnsi="Poppins" w:cs="Poppins"/>
          <w:sz w:val="22"/>
          <w:szCs w:val="22"/>
        </w:rPr>
      </w:pPr>
      <w:r w:rsidRPr="00A8108B">
        <w:rPr>
          <w:rFonts w:ascii="Poppins" w:hAnsi="Poppins" w:cs="Poppins"/>
          <w:b/>
          <w:bCs/>
          <w:sz w:val="22"/>
          <w:szCs w:val="22"/>
        </w:rPr>
        <w:t>Internal Controls Over Financial Reporting</w:t>
      </w:r>
      <w:r w:rsidRPr="00A8108B">
        <w:rPr>
          <w:rFonts w:ascii="Poppins" w:hAnsi="Poppins" w:cs="Poppins"/>
          <w:sz w:val="22"/>
          <w:szCs w:val="22"/>
        </w:rPr>
        <w:br/>
        <w:t>During the quarter, Acme Bank implemented enhanced AI-driven tools for financial reporting, improving accuracy and reducing manual errors.</w:t>
      </w:r>
    </w:p>
    <w:p w14:paraId="336B75C8"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6B3D5A90">
          <v:rect id="_x0000_i1032" alt="" style="width:468pt;height:.05pt;mso-width-percent:0;mso-height-percent:0;mso-width-percent:0;mso-height-percent:0" o:hralign="center" o:hrstd="t" o:hr="t" fillcolor="#a0a0a0" stroked="f"/>
        </w:pict>
      </w:r>
    </w:p>
    <w:p w14:paraId="502D89D4" w14:textId="77777777" w:rsidR="00A8108B" w:rsidRDefault="00A8108B" w:rsidP="00A8108B">
      <w:pPr>
        <w:rPr>
          <w:rFonts w:ascii="Poppins" w:hAnsi="Poppins" w:cs="Poppins"/>
          <w:b/>
          <w:bCs/>
          <w:sz w:val="22"/>
          <w:szCs w:val="22"/>
        </w:rPr>
      </w:pPr>
      <w:r>
        <w:rPr>
          <w:rFonts w:ascii="Poppins" w:hAnsi="Poppins" w:cs="Poppins"/>
          <w:b/>
          <w:bCs/>
          <w:sz w:val="22"/>
          <w:szCs w:val="22"/>
        </w:rPr>
        <w:br w:type="page"/>
      </w:r>
    </w:p>
    <w:p w14:paraId="3C92542C" w14:textId="7294C3EF" w:rsidR="00A8108B" w:rsidRPr="00A8108B" w:rsidRDefault="00A8108B" w:rsidP="00A8108B">
      <w:pPr>
        <w:rPr>
          <w:rFonts w:ascii="Poppins" w:hAnsi="Poppins" w:cs="Poppins"/>
          <w:b/>
          <w:bCs/>
          <w:sz w:val="32"/>
          <w:szCs w:val="32"/>
        </w:rPr>
      </w:pPr>
      <w:r w:rsidRPr="00A8108B">
        <w:rPr>
          <w:rFonts w:ascii="Poppins" w:hAnsi="Poppins" w:cs="Poppins"/>
          <w:b/>
          <w:bCs/>
          <w:sz w:val="32"/>
          <w:szCs w:val="32"/>
        </w:rPr>
        <w:lastRenderedPageBreak/>
        <w:t>PART II. OTHER INFORMATION</w:t>
      </w:r>
    </w:p>
    <w:p w14:paraId="54B3DFA5"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2BC82852">
          <v:rect id="_x0000_i1031" alt="" style="width:468pt;height:.05pt;mso-width-percent:0;mso-height-percent:0;mso-width-percent:0;mso-height-percent:0" o:hralign="center" o:hrstd="t" o:hr="t" fillcolor="#a0a0a0" stroked="f"/>
        </w:pict>
      </w:r>
    </w:p>
    <w:p w14:paraId="1397979C"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 1. Legal Proceedings</w:t>
      </w:r>
    </w:p>
    <w:p w14:paraId="399FE6E8"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No material legal proceedings are pending that would have a significant effect on the company’s operations.</w:t>
      </w:r>
    </w:p>
    <w:p w14:paraId="466A24B4"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38BF9BBE">
          <v:rect id="_x0000_i1030" alt="" style="width:468pt;height:.05pt;mso-width-percent:0;mso-height-percent:0;mso-width-percent:0;mso-height-percent:0" o:hralign="center" o:hrstd="t" o:hr="t" fillcolor="#a0a0a0" stroked="f"/>
        </w:pict>
      </w:r>
    </w:p>
    <w:p w14:paraId="710EDFBC"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 1A. Risk Factors</w:t>
      </w:r>
    </w:p>
    <w:p w14:paraId="62AA2109"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Key risks facing the Platinum Credit Card division include:</w:t>
      </w:r>
    </w:p>
    <w:p w14:paraId="33C24C22" w14:textId="77777777" w:rsidR="00A8108B" w:rsidRPr="00A8108B" w:rsidRDefault="00A8108B" w:rsidP="00A8108B">
      <w:pPr>
        <w:numPr>
          <w:ilvl w:val="0"/>
          <w:numId w:val="6"/>
        </w:numPr>
        <w:rPr>
          <w:rFonts w:ascii="Poppins" w:hAnsi="Poppins" w:cs="Poppins"/>
          <w:sz w:val="22"/>
          <w:szCs w:val="22"/>
        </w:rPr>
      </w:pPr>
      <w:r w:rsidRPr="00A8108B">
        <w:rPr>
          <w:rFonts w:ascii="Poppins" w:hAnsi="Poppins" w:cs="Poppins"/>
          <w:b/>
          <w:bCs/>
          <w:sz w:val="22"/>
          <w:szCs w:val="22"/>
        </w:rPr>
        <w:t>Economic Conditions</w:t>
      </w:r>
      <w:r w:rsidRPr="00A8108B">
        <w:rPr>
          <w:rFonts w:ascii="Poppins" w:hAnsi="Poppins" w:cs="Poppins"/>
          <w:sz w:val="22"/>
          <w:szCs w:val="22"/>
        </w:rPr>
        <w:t>: Inflationary pressures and interest rate increases may reduce consumer spending, impacting card usage and fee income.</w:t>
      </w:r>
    </w:p>
    <w:p w14:paraId="3FEF837A" w14:textId="77777777" w:rsidR="00A8108B" w:rsidRPr="00A8108B" w:rsidRDefault="00A8108B" w:rsidP="00A8108B">
      <w:pPr>
        <w:numPr>
          <w:ilvl w:val="0"/>
          <w:numId w:val="6"/>
        </w:numPr>
        <w:rPr>
          <w:rFonts w:ascii="Poppins" w:hAnsi="Poppins" w:cs="Poppins"/>
          <w:sz w:val="22"/>
          <w:szCs w:val="22"/>
        </w:rPr>
      </w:pPr>
      <w:r w:rsidRPr="00A8108B">
        <w:rPr>
          <w:rFonts w:ascii="Poppins" w:hAnsi="Poppins" w:cs="Poppins"/>
          <w:b/>
          <w:bCs/>
          <w:sz w:val="22"/>
          <w:szCs w:val="22"/>
        </w:rPr>
        <w:t>Credit Risk</w:t>
      </w:r>
      <w:r w:rsidRPr="00A8108B">
        <w:rPr>
          <w:rFonts w:ascii="Poppins" w:hAnsi="Poppins" w:cs="Poppins"/>
          <w:sz w:val="22"/>
          <w:szCs w:val="22"/>
        </w:rPr>
        <w:t>: Increased delinquency rates in emerging markets, such as Latin America, pose a potential threat to overall credit quality.</w:t>
      </w:r>
    </w:p>
    <w:p w14:paraId="6293B1F7" w14:textId="77777777" w:rsidR="00A8108B" w:rsidRPr="00A8108B" w:rsidRDefault="00A8108B" w:rsidP="00A8108B">
      <w:pPr>
        <w:numPr>
          <w:ilvl w:val="0"/>
          <w:numId w:val="6"/>
        </w:numPr>
        <w:rPr>
          <w:rFonts w:ascii="Poppins" w:hAnsi="Poppins" w:cs="Poppins"/>
          <w:sz w:val="22"/>
          <w:szCs w:val="22"/>
        </w:rPr>
      </w:pPr>
      <w:r w:rsidRPr="00A8108B">
        <w:rPr>
          <w:rFonts w:ascii="Poppins" w:hAnsi="Poppins" w:cs="Poppins"/>
          <w:b/>
          <w:bCs/>
          <w:sz w:val="22"/>
          <w:szCs w:val="22"/>
        </w:rPr>
        <w:t>Competition</w:t>
      </w:r>
      <w:r w:rsidRPr="00A8108B">
        <w:rPr>
          <w:rFonts w:ascii="Poppins" w:hAnsi="Poppins" w:cs="Poppins"/>
          <w:sz w:val="22"/>
          <w:szCs w:val="22"/>
        </w:rPr>
        <w:t>: The division faces fierce competition from established players like American Express, Chase Sapphire, and others. Maintaining market share will require continued innovation in services and customer engagement.</w:t>
      </w:r>
    </w:p>
    <w:p w14:paraId="571F37FB"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29C6AC94">
          <v:rect id="_x0000_i1029" alt="" style="width:468pt;height:.05pt;mso-width-percent:0;mso-height-percent:0;mso-width-percent:0;mso-height-percent:0" o:hralign="center" o:hrstd="t" o:hr="t" fillcolor="#a0a0a0" stroked="f"/>
        </w:pict>
      </w:r>
    </w:p>
    <w:p w14:paraId="63B37D8F"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 2. Unregistered Sales of Equity Securities and Use of Proceeds</w:t>
      </w:r>
    </w:p>
    <w:p w14:paraId="77E4CDEF"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None during the reporting period.</w:t>
      </w:r>
    </w:p>
    <w:p w14:paraId="1FBD34C0"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45D77A77">
          <v:rect id="_x0000_i1028" alt="" style="width:468pt;height:.05pt;mso-width-percent:0;mso-height-percent:0;mso-width-percent:0;mso-height-percent:0" o:hralign="center" o:hrstd="t" o:hr="t" fillcolor="#a0a0a0" stroked="f"/>
        </w:pict>
      </w:r>
    </w:p>
    <w:p w14:paraId="389D6505"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 3. Defaults Upon Senior Securities</w:t>
      </w:r>
    </w:p>
    <w:p w14:paraId="09393E4C"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None during the reporting period.</w:t>
      </w:r>
    </w:p>
    <w:p w14:paraId="7417960A"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7681F2C1">
          <v:rect id="_x0000_i1027" alt="" style="width:468pt;height:.05pt;mso-width-percent:0;mso-height-percent:0;mso-width-percent:0;mso-height-percent:0" o:hralign="center" o:hrstd="t" o:hr="t" fillcolor="#a0a0a0" stroked="f"/>
        </w:pict>
      </w:r>
    </w:p>
    <w:p w14:paraId="47E3F2D2"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 4. Mine Safety Disclosures</w:t>
      </w:r>
    </w:p>
    <w:p w14:paraId="0EE73F6E"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Not applicable.</w:t>
      </w:r>
    </w:p>
    <w:p w14:paraId="587909F8"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724AD9E9">
          <v:rect id="_x0000_i1026" alt="" style="width:468pt;height:.05pt;mso-width-percent:0;mso-height-percent:0;mso-width-percent:0;mso-height-percent:0" o:hralign="center" o:hrstd="t" o:hr="t" fillcolor="#a0a0a0" stroked="f"/>
        </w:pict>
      </w:r>
    </w:p>
    <w:p w14:paraId="368052F9"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 5. Other Information</w:t>
      </w:r>
    </w:p>
    <w:p w14:paraId="73FBF92A"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No additional information to disclose.</w:t>
      </w:r>
    </w:p>
    <w:p w14:paraId="2492B0E1" w14:textId="77777777" w:rsidR="00A8108B" w:rsidRPr="00A8108B" w:rsidRDefault="008B60FA" w:rsidP="00A8108B">
      <w:pPr>
        <w:rPr>
          <w:rFonts w:ascii="Poppins" w:hAnsi="Poppins" w:cs="Poppins"/>
          <w:sz w:val="22"/>
          <w:szCs w:val="22"/>
        </w:rPr>
      </w:pPr>
      <w:r>
        <w:rPr>
          <w:rFonts w:ascii="Poppins" w:hAnsi="Poppins" w:cs="Poppins"/>
          <w:noProof/>
          <w:sz w:val="22"/>
          <w:szCs w:val="22"/>
        </w:rPr>
        <w:pict w14:anchorId="3C96ACF7">
          <v:rect id="_x0000_i1025" alt="" style="width:468pt;height:.05pt;mso-width-percent:0;mso-height-percent:0;mso-width-percent:0;mso-height-percent:0" o:hralign="center" o:hrstd="t" o:hr="t" fillcolor="#a0a0a0" stroked="f"/>
        </w:pict>
      </w:r>
    </w:p>
    <w:p w14:paraId="2A985B84"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Item 6. Exhibits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3939"/>
      </w:tblGrid>
      <w:tr w:rsidR="00A8108B" w:rsidRPr="00A8108B" w14:paraId="01F03C7D" w14:textId="77777777" w:rsidTr="00A8108B">
        <w:trPr>
          <w:tblHeader/>
          <w:tblCellSpacing w:w="15" w:type="dxa"/>
        </w:trPr>
        <w:tc>
          <w:tcPr>
            <w:tcW w:w="0" w:type="auto"/>
            <w:vAlign w:val="center"/>
            <w:hideMark/>
          </w:tcPr>
          <w:p w14:paraId="31FB9E23"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Exhibit Number</w:t>
            </w:r>
          </w:p>
        </w:tc>
        <w:tc>
          <w:tcPr>
            <w:tcW w:w="0" w:type="auto"/>
            <w:vAlign w:val="center"/>
            <w:hideMark/>
          </w:tcPr>
          <w:p w14:paraId="1CEE6D9F" w14:textId="77777777" w:rsidR="00A8108B" w:rsidRPr="00A8108B" w:rsidRDefault="00A8108B" w:rsidP="00A8108B">
            <w:pPr>
              <w:rPr>
                <w:rFonts w:ascii="Poppins" w:hAnsi="Poppins" w:cs="Poppins"/>
                <w:b/>
                <w:bCs/>
                <w:sz w:val="22"/>
                <w:szCs w:val="22"/>
              </w:rPr>
            </w:pPr>
            <w:r w:rsidRPr="00A8108B">
              <w:rPr>
                <w:rFonts w:ascii="Poppins" w:hAnsi="Poppins" w:cs="Poppins"/>
                <w:b/>
                <w:bCs/>
                <w:sz w:val="22"/>
                <w:szCs w:val="22"/>
              </w:rPr>
              <w:t>Description</w:t>
            </w:r>
          </w:p>
        </w:tc>
      </w:tr>
      <w:tr w:rsidR="00A8108B" w:rsidRPr="00A8108B" w14:paraId="42B6B82A" w14:textId="77777777" w:rsidTr="00A8108B">
        <w:trPr>
          <w:tblCellSpacing w:w="15" w:type="dxa"/>
        </w:trPr>
        <w:tc>
          <w:tcPr>
            <w:tcW w:w="0" w:type="auto"/>
            <w:vAlign w:val="center"/>
            <w:hideMark/>
          </w:tcPr>
          <w:p w14:paraId="784D4513"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Exhibit A</w:t>
            </w:r>
          </w:p>
        </w:tc>
        <w:tc>
          <w:tcPr>
            <w:tcW w:w="0" w:type="auto"/>
            <w:vAlign w:val="center"/>
            <w:hideMark/>
          </w:tcPr>
          <w:p w14:paraId="475FD68D"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2024 Mid-Year Performance Report</w:t>
            </w:r>
          </w:p>
        </w:tc>
      </w:tr>
      <w:tr w:rsidR="00A8108B" w:rsidRPr="00A8108B" w14:paraId="04EF968F" w14:textId="77777777" w:rsidTr="00A8108B">
        <w:trPr>
          <w:tblCellSpacing w:w="15" w:type="dxa"/>
        </w:trPr>
        <w:tc>
          <w:tcPr>
            <w:tcW w:w="0" w:type="auto"/>
            <w:vAlign w:val="center"/>
            <w:hideMark/>
          </w:tcPr>
          <w:p w14:paraId="76C3EE09"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Exhibit B</w:t>
            </w:r>
          </w:p>
        </w:tc>
        <w:tc>
          <w:tcPr>
            <w:tcW w:w="0" w:type="auto"/>
            <w:vAlign w:val="center"/>
            <w:hideMark/>
          </w:tcPr>
          <w:p w14:paraId="558FB3BF"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2024 Platinum CC Industry Analysis</w:t>
            </w:r>
          </w:p>
        </w:tc>
      </w:tr>
      <w:tr w:rsidR="00A8108B" w:rsidRPr="00A8108B" w14:paraId="49AB693B" w14:textId="77777777" w:rsidTr="00A8108B">
        <w:trPr>
          <w:tblCellSpacing w:w="15" w:type="dxa"/>
        </w:trPr>
        <w:tc>
          <w:tcPr>
            <w:tcW w:w="0" w:type="auto"/>
            <w:vAlign w:val="center"/>
            <w:hideMark/>
          </w:tcPr>
          <w:p w14:paraId="766F9C33"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Exhibit C</w:t>
            </w:r>
          </w:p>
        </w:tc>
        <w:tc>
          <w:tcPr>
            <w:tcW w:w="0" w:type="auto"/>
            <w:vAlign w:val="center"/>
            <w:hideMark/>
          </w:tcPr>
          <w:p w14:paraId="32C84FD5"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2024 SWOT Report</w:t>
            </w:r>
          </w:p>
        </w:tc>
      </w:tr>
      <w:tr w:rsidR="00A8108B" w:rsidRPr="00A8108B" w14:paraId="5EFBAC24" w14:textId="77777777" w:rsidTr="00A8108B">
        <w:trPr>
          <w:tblCellSpacing w:w="15" w:type="dxa"/>
        </w:trPr>
        <w:tc>
          <w:tcPr>
            <w:tcW w:w="0" w:type="auto"/>
            <w:vAlign w:val="center"/>
            <w:hideMark/>
          </w:tcPr>
          <w:p w14:paraId="4FF0E7E1"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Exhibit D</w:t>
            </w:r>
          </w:p>
        </w:tc>
        <w:tc>
          <w:tcPr>
            <w:tcW w:w="0" w:type="auto"/>
            <w:vAlign w:val="center"/>
            <w:hideMark/>
          </w:tcPr>
          <w:p w14:paraId="67FC8EB5" w14:textId="77777777" w:rsidR="00A8108B" w:rsidRPr="00A8108B" w:rsidRDefault="00A8108B" w:rsidP="00A8108B">
            <w:pPr>
              <w:rPr>
                <w:rFonts w:ascii="Poppins" w:hAnsi="Poppins" w:cs="Poppins"/>
                <w:sz w:val="22"/>
                <w:szCs w:val="22"/>
              </w:rPr>
            </w:pPr>
            <w:r w:rsidRPr="00A8108B">
              <w:rPr>
                <w:rFonts w:ascii="Poppins" w:hAnsi="Poppins" w:cs="Poppins"/>
                <w:sz w:val="22"/>
                <w:szCs w:val="22"/>
              </w:rPr>
              <w:t>2024 Competitor Analysis Report</w:t>
            </w:r>
          </w:p>
        </w:tc>
      </w:tr>
    </w:tbl>
    <w:p w14:paraId="6354092F" w14:textId="77777777" w:rsidR="00952391" w:rsidRPr="00A8108B" w:rsidRDefault="00952391">
      <w:pPr>
        <w:rPr>
          <w:rFonts w:ascii="Poppins" w:hAnsi="Poppins" w:cs="Poppins"/>
          <w:sz w:val="22"/>
          <w:szCs w:val="22"/>
        </w:rPr>
      </w:pPr>
    </w:p>
    <w:sectPr w:rsidR="00952391" w:rsidRPr="00A8108B" w:rsidSect="00A8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73210"/>
    <w:multiLevelType w:val="multilevel"/>
    <w:tmpl w:val="82E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012A0"/>
    <w:multiLevelType w:val="multilevel"/>
    <w:tmpl w:val="883A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8098F"/>
    <w:multiLevelType w:val="multilevel"/>
    <w:tmpl w:val="E4D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A6F73"/>
    <w:multiLevelType w:val="multilevel"/>
    <w:tmpl w:val="B48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43AA7"/>
    <w:multiLevelType w:val="multilevel"/>
    <w:tmpl w:val="BC0A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02719"/>
    <w:multiLevelType w:val="multilevel"/>
    <w:tmpl w:val="3200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679640">
    <w:abstractNumId w:val="1"/>
  </w:num>
  <w:num w:numId="2" w16cid:durableId="2069257224">
    <w:abstractNumId w:val="2"/>
  </w:num>
  <w:num w:numId="3" w16cid:durableId="1648050955">
    <w:abstractNumId w:val="5"/>
  </w:num>
  <w:num w:numId="4" w16cid:durableId="748428086">
    <w:abstractNumId w:val="4"/>
  </w:num>
  <w:num w:numId="5" w16cid:durableId="888104403">
    <w:abstractNumId w:val="3"/>
  </w:num>
  <w:num w:numId="6" w16cid:durableId="151049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8B"/>
    <w:rsid w:val="0045703F"/>
    <w:rsid w:val="0060482B"/>
    <w:rsid w:val="008470AF"/>
    <w:rsid w:val="008B60FA"/>
    <w:rsid w:val="00946ACA"/>
    <w:rsid w:val="00952391"/>
    <w:rsid w:val="00981D29"/>
    <w:rsid w:val="00A20326"/>
    <w:rsid w:val="00A701B9"/>
    <w:rsid w:val="00A8108B"/>
    <w:rsid w:val="00BC107F"/>
    <w:rsid w:val="00CF081C"/>
    <w:rsid w:val="00F8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4B1"/>
  <w15:chartTrackingRefBased/>
  <w15:docId w15:val="{F71D6851-8215-4748-B31A-BFB3DDCF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0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0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0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0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08B"/>
    <w:rPr>
      <w:rFonts w:eastAsiaTheme="majorEastAsia" w:cstheme="majorBidi"/>
      <w:color w:val="272727" w:themeColor="text1" w:themeTint="D8"/>
    </w:rPr>
  </w:style>
  <w:style w:type="paragraph" w:styleId="Title">
    <w:name w:val="Title"/>
    <w:basedOn w:val="Normal"/>
    <w:next w:val="Normal"/>
    <w:link w:val="TitleChar"/>
    <w:uiPriority w:val="10"/>
    <w:qFormat/>
    <w:rsid w:val="00A810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0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0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08B"/>
    <w:rPr>
      <w:i/>
      <w:iCs/>
      <w:color w:val="404040" w:themeColor="text1" w:themeTint="BF"/>
    </w:rPr>
  </w:style>
  <w:style w:type="paragraph" w:styleId="ListParagraph">
    <w:name w:val="List Paragraph"/>
    <w:basedOn w:val="Normal"/>
    <w:uiPriority w:val="34"/>
    <w:qFormat/>
    <w:rsid w:val="00A8108B"/>
    <w:pPr>
      <w:ind w:left="720"/>
      <w:contextualSpacing/>
    </w:pPr>
  </w:style>
  <w:style w:type="character" w:styleId="IntenseEmphasis">
    <w:name w:val="Intense Emphasis"/>
    <w:basedOn w:val="DefaultParagraphFont"/>
    <w:uiPriority w:val="21"/>
    <w:qFormat/>
    <w:rsid w:val="00A8108B"/>
    <w:rPr>
      <w:i/>
      <w:iCs/>
      <w:color w:val="0F4761" w:themeColor="accent1" w:themeShade="BF"/>
    </w:rPr>
  </w:style>
  <w:style w:type="paragraph" w:styleId="IntenseQuote">
    <w:name w:val="Intense Quote"/>
    <w:basedOn w:val="Normal"/>
    <w:next w:val="Normal"/>
    <w:link w:val="IntenseQuoteChar"/>
    <w:uiPriority w:val="30"/>
    <w:qFormat/>
    <w:rsid w:val="00A81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08B"/>
    <w:rPr>
      <w:i/>
      <w:iCs/>
      <w:color w:val="0F4761" w:themeColor="accent1" w:themeShade="BF"/>
    </w:rPr>
  </w:style>
  <w:style w:type="character" w:styleId="IntenseReference">
    <w:name w:val="Intense Reference"/>
    <w:basedOn w:val="DefaultParagraphFont"/>
    <w:uiPriority w:val="32"/>
    <w:qFormat/>
    <w:rsid w:val="00A8108B"/>
    <w:rPr>
      <w:b/>
      <w:bCs/>
      <w:smallCaps/>
      <w:color w:val="0F4761" w:themeColor="accent1" w:themeShade="BF"/>
      <w:spacing w:val="5"/>
    </w:rPr>
  </w:style>
  <w:style w:type="table" w:styleId="TableGrid">
    <w:name w:val="Table Grid"/>
    <w:basedOn w:val="TableNormal"/>
    <w:uiPriority w:val="39"/>
    <w:rsid w:val="00A81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984932">
      <w:bodyDiv w:val="1"/>
      <w:marLeft w:val="0"/>
      <w:marRight w:val="0"/>
      <w:marTop w:val="0"/>
      <w:marBottom w:val="0"/>
      <w:divBdr>
        <w:top w:val="none" w:sz="0" w:space="0" w:color="auto"/>
        <w:left w:val="none" w:sz="0" w:space="0" w:color="auto"/>
        <w:bottom w:val="none" w:sz="0" w:space="0" w:color="auto"/>
        <w:right w:val="none" w:sz="0" w:space="0" w:color="auto"/>
      </w:divBdr>
    </w:div>
    <w:div w:id="92199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57ED0AF66004081ECC16608D3FE10" ma:contentTypeVersion="12" ma:contentTypeDescription="Create a new document." ma:contentTypeScope="" ma:versionID="ea2e41142eab89eddf376d4b9e86d21c">
  <xsd:schema xmlns:xsd="http://www.w3.org/2001/XMLSchema" xmlns:xs="http://www.w3.org/2001/XMLSchema" xmlns:p="http://schemas.microsoft.com/office/2006/metadata/properties" xmlns:ns2="348dca6d-0d68-4e36-a447-d988acca85dd" xmlns:ns3="34f45e27-7bd7-4b21-8e5a-843d89818eb3" targetNamespace="http://schemas.microsoft.com/office/2006/metadata/properties" ma:root="true" ma:fieldsID="d9d712b1c597b70d9dae1a5d841f3b14" ns2:_="" ns3:_="">
    <xsd:import namespace="348dca6d-0d68-4e36-a447-d988acca85dd"/>
    <xsd:import namespace="34f45e27-7bd7-4b21-8e5a-843d89818e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dca6d-0d68-4e36-a447-d988acca85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2282355-5671-4384-9aab-879aadc9f06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f45e27-7bd7-4b21-8e5a-843d89818e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84356ef-b4cd-4069-998a-515f2dc1639f}" ma:internalName="TaxCatchAll" ma:showField="CatchAllData" ma:web="34f45e27-7bd7-4b21-8e5a-843d89818e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8dca6d-0d68-4e36-a447-d988acca85dd">
      <Terms xmlns="http://schemas.microsoft.com/office/infopath/2007/PartnerControls"/>
    </lcf76f155ced4ddcb4097134ff3c332f>
    <TaxCatchAll xmlns="34f45e27-7bd7-4b21-8e5a-843d89818eb3" xsi:nil="true"/>
  </documentManagement>
</p:properties>
</file>

<file path=customXml/itemProps1.xml><?xml version="1.0" encoding="utf-8"?>
<ds:datastoreItem xmlns:ds="http://schemas.openxmlformats.org/officeDocument/2006/customXml" ds:itemID="{F08A40D9-CF4C-4201-BF4B-455737651F6E}"/>
</file>

<file path=customXml/itemProps2.xml><?xml version="1.0" encoding="utf-8"?>
<ds:datastoreItem xmlns:ds="http://schemas.openxmlformats.org/officeDocument/2006/customXml" ds:itemID="{05368C94-C54F-4AB6-8C49-3831F8F24A6D}"/>
</file>

<file path=customXml/itemProps3.xml><?xml version="1.0" encoding="utf-8"?>
<ds:datastoreItem xmlns:ds="http://schemas.openxmlformats.org/officeDocument/2006/customXml" ds:itemID="{919C978B-4D43-4717-A38B-C294BCDEA276}"/>
</file>

<file path=docProps/app.xml><?xml version="1.0" encoding="utf-8"?>
<Properties xmlns="http://schemas.openxmlformats.org/officeDocument/2006/extended-properties" xmlns:vt="http://schemas.openxmlformats.org/officeDocument/2006/docPropsVTypes">
  <Template>Normal.dotm</Template>
  <TotalTime>6</TotalTime>
  <Pages>5</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Ferguson</dc:creator>
  <cp:keywords/>
  <dc:description/>
  <cp:lastModifiedBy>Erik Ferguson</cp:lastModifiedBy>
  <cp:revision>5</cp:revision>
  <dcterms:created xsi:type="dcterms:W3CDTF">2024-11-12T15:24:00Z</dcterms:created>
  <dcterms:modified xsi:type="dcterms:W3CDTF">2024-11-12T15:35:00Z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0x010100A5257ED0AF66004081ECC16608D3FE10</vt:lpwstr>
  </property>
</Properties>
</file>