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BFA3F" w14:textId="272D452B" w:rsidR="00A60B99" w:rsidRDefault="00A60B99" w:rsidP="00A60B99">
      <w:r>
        <w:t xml:space="preserve"> KEY TAKEAWAYS</w:t>
      </w:r>
    </w:p>
    <w:p w14:paraId="3F4C2232" w14:textId="77777777" w:rsidR="00A60B99" w:rsidRDefault="00A60B99" w:rsidP="00A60B99"/>
    <w:p w14:paraId="66C8B3CD" w14:textId="77777777" w:rsidR="00A60B99" w:rsidRDefault="00A60B99" w:rsidP="00497625">
      <w:pPr>
        <w:pStyle w:val="ListParagraph"/>
        <w:numPr>
          <w:ilvl w:val="0"/>
          <w:numId w:val="1"/>
        </w:numPr>
      </w:pPr>
      <w:r>
        <w:t>The chart contains complete ingredient information used in Grade 8 Cookery: egg dishes, vegetable dishes, salads, sandwiches, starch dishes, and desserts.</w:t>
      </w:r>
    </w:p>
    <w:p w14:paraId="3CA69EEF" w14:textId="77777777" w:rsidR="00A60B99" w:rsidRDefault="00A60B99" w:rsidP="00A60B99"/>
    <w:p w14:paraId="5F2BFA09" w14:textId="77777777" w:rsidR="00A60B99" w:rsidRDefault="00A60B99" w:rsidP="00497625">
      <w:pPr>
        <w:pStyle w:val="ListParagraph"/>
        <w:numPr>
          <w:ilvl w:val="0"/>
          <w:numId w:val="1"/>
        </w:numPr>
      </w:pPr>
      <w:r>
        <w:t>Each ingredient is presented with its common name and scientific name, ensuring accuracy and deeper understanding.</w:t>
      </w:r>
    </w:p>
    <w:p w14:paraId="3524027D" w14:textId="77777777" w:rsidR="00A60B99" w:rsidRDefault="00A60B99" w:rsidP="00A60B99"/>
    <w:p w14:paraId="4180395F" w14:textId="77777777" w:rsidR="00A60B99" w:rsidRDefault="00A60B99" w:rsidP="00497625">
      <w:pPr>
        <w:pStyle w:val="ListParagraph"/>
        <w:numPr>
          <w:ilvl w:val="0"/>
          <w:numId w:val="1"/>
        </w:numPr>
      </w:pPr>
      <w:r>
        <w:t>The chart includes short, clear descriptions explaining the ingredient’s characteristics and culinary uses.</w:t>
      </w:r>
    </w:p>
    <w:p w14:paraId="6F25C1AF" w14:textId="77777777" w:rsidR="00A60B99" w:rsidRDefault="00A60B99" w:rsidP="00A60B99"/>
    <w:p w14:paraId="16843E0E" w14:textId="77777777" w:rsidR="00A60B99" w:rsidRDefault="00A60B99" w:rsidP="00497625">
      <w:pPr>
        <w:pStyle w:val="ListParagraph"/>
        <w:numPr>
          <w:ilvl w:val="0"/>
          <w:numId w:val="1"/>
        </w:numPr>
      </w:pPr>
      <w:r>
        <w:t>It provides organized ingredient categories (e.g., eggs, vegetables, fruits, spices, liquids, dairy, starches) for easy reference.</w:t>
      </w:r>
    </w:p>
    <w:p w14:paraId="6A4D4CB7" w14:textId="77777777" w:rsidR="00A60B99" w:rsidRDefault="00A60B99" w:rsidP="00A60B99"/>
    <w:p w14:paraId="3284FA13" w14:textId="77777777" w:rsidR="00A60B99" w:rsidRDefault="00A60B99" w:rsidP="00497625">
      <w:pPr>
        <w:pStyle w:val="ListParagraph"/>
        <w:numPr>
          <w:ilvl w:val="0"/>
          <w:numId w:val="1"/>
        </w:numPr>
      </w:pPr>
      <w:r>
        <w:t>The content highlights the nutritional value and essential qualities of selected ingredients.</w:t>
      </w:r>
    </w:p>
    <w:p w14:paraId="327A6C77" w14:textId="77777777" w:rsidR="00A60B99" w:rsidRDefault="00A60B99" w:rsidP="00A60B99"/>
    <w:p w14:paraId="1D9FE899" w14:textId="77777777" w:rsidR="00A60B99" w:rsidRDefault="00A60B99" w:rsidP="00497625">
      <w:pPr>
        <w:pStyle w:val="ListParagraph"/>
        <w:numPr>
          <w:ilvl w:val="0"/>
          <w:numId w:val="1"/>
        </w:numPr>
      </w:pPr>
      <w:r>
        <w:t>Visual placeholders guide learners on what the ingredient looks like for quick recognition.</w:t>
      </w:r>
    </w:p>
    <w:p w14:paraId="1AAB077B" w14:textId="77777777" w:rsidR="00A60B99" w:rsidRDefault="00A60B99" w:rsidP="00A60B99"/>
    <w:p w14:paraId="2E4AC19E" w14:textId="77777777" w:rsidR="00A60B99" w:rsidRDefault="00A60B99" w:rsidP="00497625">
      <w:pPr>
        <w:pStyle w:val="ListParagraph"/>
        <w:numPr>
          <w:ilvl w:val="0"/>
          <w:numId w:val="1"/>
        </w:numPr>
      </w:pPr>
      <w:r>
        <w:t>QR codes expand the content by linking to audio pronunciation, helping with correct terminology.</w:t>
      </w:r>
    </w:p>
    <w:p w14:paraId="04F28C44" w14:textId="77777777" w:rsidR="00A60B99" w:rsidRDefault="00A60B99" w:rsidP="00A60B99"/>
    <w:p w14:paraId="67FBB337" w14:textId="77777777" w:rsidR="00A60B99" w:rsidRDefault="00A60B99" w:rsidP="00497625">
      <w:pPr>
        <w:pStyle w:val="ListParagraph"/>
        <w:numPr>
          <w:ilvl w:val="0"/>
          <w:numId w:val="1"/>
        </w:numPr>
      </w:pPr>
      <w:r>
        <w:t>Video links connected to the chart demonstrate ingredient preparation or usage in actual dishes.</w:t>
      </w:r>
    </w:p>
    <w:p w14:paraId="3E172CC2" w14:textId="77777777" w:rsidR="00A60B99" w:rsidRDefault="00A60B99" w:rsidP="00A60B99"/>
    <w:p w14:paraId="1A1CD7E9" w14:textId="77777777" w:rsidR="00A60B99" w:rsidRDefault="00A60B99" w:rsidP="00497625">
      <w:pPr>
        <w:pStyle w:val="ListParagraph"/>
        <w:numPr>
          <w:ilvl w:val="0"/>
          <w:numId w:val="1"/>
        </w:numPr>
      </w:pPr>
      <w:r>
        <w:t>The content supports learners in understanding culinary terminologies related to ingredients.</w:t>
      </w:r>
    </w:p>
    <w:p w14:paraId="5F93B96B" w14:textId="77777777" w:rsidR="00A60B99" w:rsidRDefault="00A60B99" w:rsidP="00A60B99"/>
    <w:p w14:paraId="413D2B6B" w14:textId="77777777" w:rsidR="00A60B99" w:rsidRDefault="00A60B99" w:rsidP="00497625">
      <w:pPr>
        <w:pStyle w:val="ListParagraph"/>
        <w:numPr>
          <w:ilvl w:val="0"/>
          <w:numId w:val="1"/>
        </w:numPr>
      </w:pPr>
      <w:r>
        <w:t>The chart introduces both local and commonly used ingredients, making learning relevant and contextualized.</w:t>
      </w:r>
    </w:p>
    <w:p w14:paraId="62B770C6" w14:textId="77777777" w:rsidR="00A60B99" w:rsidRDefault="00A60B99" w:rsidP="00A60B99"/>
    <w:p w14:paraId="326E5205" w14:textId="77777777" w:rsidR="00A60B99" w:rsidRDefault="00A60B99" w:rsidP="00497625">
      <w:pPr>
        <w:pStyle w:val="ListParagraph"/>
        <w:numPr>
          <w:ilvl w:val="0"/>
          <w:numId w:val="1"/>
        </w:numPr>
      </w:pPr>
      <w:r>
        <w:t>The content is aligned with MELCs that require students to identify, select, and describe ingredients used in cooking.</w:t>
      </w:r>
    </w:p>
    <w:p w14:paraId="4D4D477B" w14:textId="77777777" w:rsidR="00A60B99" w:rsidRDefault="00A60B99" w:rsidP="00A60B99"/>
    <w:p w14:paraId="28BC2655" w14:textId="77777777" w:rsidR="00A60B99" w:rsidRDefault="00A60B99" w:rsidP="00497625">
      <w:pPr>
        <w:pStyle w:val="ListParagraph"/>
        <w:numPr>
          <w:ilvl w:val="0"/>
          <w:numId w:val="1"/>
        </w:numPr>
      </w:pPr>
      <w:r>
        <w:t>It includes examples from actual recipes, helping learners see how ingredients are applied in real dishes.</w:t>
      </w:r>
    </w:p>
    <w:p w14:paraId="55174CE4" w14:textId="77777777" w:rsidR="00A60B99" w:rsidRDefault="00A60B99" w:rsidP="00A60B99"/>
    <w:p w14:paraId="79EDA1A3" w14:textId="77777777" w:rsidR="00A60B99" w:rsidRDefault="00A60B99" w:rsidP="00497625">
      <w:pPr>
        <w:pStyle w:val="ListParagraph"/>
        <w:numPr>
          <w:ilvl w:val="0"/>
          <w:numId w:val="1"/>
        </w:numPr>
      </w:pPr>
      <w:r>
        <w:t>Practice elements in the content (scientific name recall, matching, classification) promote mastery.</w:t>
      </w:r>
    </w:p>
    <w:p w14:paraId="2C5EF01D" w14:textId="77777777" w:rsidR="00A60B99" w:rsidRDefault="00A60B99" w:rsidP="00A60B99"/>
    <w:p w14:paraId="512E52CA" w14:textId="77777777" w:rsidR="00A60B99" w:rsidRDefault="00A60B99" w:rsidP="00497625">
      <w:pPr>
        <w:pStyle w:val="ListParagraph"/>
        <w:numPr>
          <w:ilvl w:val="0"/>
          <w:numId w:val="1"/>
        </w:numPr>
      </w:pPr>
      <w:r>
        <w:t>The chart encourages students to connect visuals + scientific names + usage for deeper learning.</w:t>
      </w:r>
    </w:p>
    <w:p w14:paraId="792AE972" w14:textId="77777777" w:rsidR="00A60B99" w:rsidRDefault="00A60B99" w:rsidP="00A60B99"/>
    <w:p w14:paraId="1973E9BE" w14:textId="7E4AA0FD" w:rsidR="00A60B99" w:rsidRDefault="00A60B99" w:rsidP="00497625">
      <w:pPr>
        <w:pStyle w:val="ListParagraph"/>
        <w:numPr>
          <w:ilvl w:val="0"/>
          <w:numId w:val="1"/>
        </w:numPr>
      </w:pPr>
      <w:r>
        <w:t>Overall, the content is designed to build ingredient literacy, a foundation for cooking skills.</w:t>
      </w:r>
    </w:p>
    <w:p w14:paraId="5A1674C4" w14:textId="77777777" w:rsidR="00497625" w:rsidRDefault="00497625" w:rsidP="00497625">
      <w:pPr>
        <w:pStyle w:val="ListParagraph"/>
      </w:pPr>
    </w:p>
    <w:p w14:paraId="53186B84" w14:textId="7200C2CA" w:rsidR="00B52B5A" w:rsidRDefault="00822E56" w:rsidP="00497625">
      <w:r>
        <w:t xml:space="preserve">REFERENCES </w:t>
      </w:r>
      <w:r w:rsidR="00D725E5">
        <w:t xml:space="preserve"> ( APA 7</w:t>
      </w:r>
      <w:r w:rsidR="00D725E5" w:rsidRPr="00D725E5">
        <w:rPr>
          <w:vertAlign w:val="superscript"/>
        </w:rPr>
        <w:t>th</w:t>
      </w:r>
      <w:r w:rsidR="00D725E5">
        <w:t xml:space="preserve"> Edition)</w:t>
      </w:r>
    </w:p>
    <w:p w14:paraId="6AE1862F" w14:textId="77777777" w:rsidR="00B52B5A" w:rsidRDefault="00B52B5A" w:rsidP="00497625"/>
    <w:p w14:paraId="68E5B41B" w14:textId="77777777" w:rsidR="00B52B5A" w:rsidRDefault="00B52B5A" w:rsidP="00497625"/>
    <w:p w14:paraId="4F3B5363" w14:textId="77777777" w:rsidR="00B52B5A" w:rsidRDefault="00B52B5A" w:rsidP="00497625"/>
    <w:p w14:paraId="31FAE62A" w14:textId="77777777" w:rsidR="00B52B5A" w:rsidRDefault="00B52B5A" w:rsidP="00497625">
      <w:proofErr w:type="spellStart"/>
      <w:r>
        <w:t>Abadilla</w:t>
      </w:r>
      <w:proofErr w:type="spellEnd"/>
      <w:r>
        <w:t>, J. M. (2021). Enhancing learning through QR code integration in classroom instruction. Philippine Journal of Educational Research and Development, 12(3), 45–53. * include website</w:t>
      </w:r>
    </w:p>
    <w:p w14:paraId="015CB400" w14:textId="77777777" w:rsidR="00B52B5A" w:rsidRDefault="00B52B5A" w:rsidP="00497625"/>
    <w:p w14:paraId="5C721633" w14:textId="77777777" w:rsidR="00B52B5A" w:rsidRDefault="00B52B5A" w:rsidP="00497625"/>
    <w:p w14:paraId="1FCA9732" w14:textId="77777777" w:rsidR="00B52B5A" w:rsidRDefault="00B52B5A" w:rsidP="00497625"/>
    <w:p w14:paraId="3A1710FD" w14:textId="77777777" w:rsidR="00B52B5A" w:rsidRDefault="00B52B5A" w:rsidP="00497625">
      <w:r>
        <w:t xml:space="preserve">Adams, R., &amp; </w:t>
      </w:r>
      <w:proofErr w:type="spellStart"/>
      <w:r>
        <w:t>Tulasiewicz</w:t>
      </w:r>
      <w:proofErr w:type="spellEnd"/>
      <w:r>
        <w:t>, W. (2019). Teaching through technology: Strategies for 21</w:t>
      </w:r>
      <w:r w:rsidRPr="00B52B5A">
        <w:rPr>
          <w:vertAlign w:val="superscript"/>
        </w:rPr>
        <w:t>st</w:t>
      </w:r>
      <w:r>
        <w:t>-century learners. Routledge.</w:t>
      </w:r>
    </w:p>
    <w:p w14:paraId="21F379C0" w14:textId="77777777" w:rsidR="00B52B5A" w:rsidRDefault="00B52B5A" w:rsidP="00497625"/>
    <w:p w14:paraId="14928B4D" w14:textId="77777777" w:rsidR="00B52B5A" w:rsidRDefault="00B52B5A" w:rsidP="00497625">
      <w:proofErr w:type="spellStart"/>
      <w:r>
        <w:t>Balagtas</w:t>
      </w:r>
      <w:proofErr w:type="spellEnd"/>
      <w:r>
        <w:t>, M. A., &amp; Cruz, L. D. (2020). Utilization of instructional materials in Technology and Livelihood Education (TLE): Basis for innovative teaching. International Journal of Learning, Teaching and Educational Research, 19(9), 15–28.</w:t>
      </w:r>
    </w:p>
    <w:p w14:paraId="54F6C690" w14:textId="77777777" w:rsidR="00B52B5A" w:rsidRDefault="00B52B5A" w:rsidP="00497625"/>
    <w:p w14:paraId="1A2C67FE" w14:textId="77777777" w:rsidR="00B52B5A" w:rsidRDefault="00B52B5A" w:rsidP="00497625">
      <w:r>
        <w:t>Caballero, R. P. (2022). Integration of digital tools in cookery instruction among junior high school students. Asian Journal of Technology and Vocational Education, 5(2), 77–89.</w:t>
      </w:r>
    </w:p>
    <w:p w14:paraId="349E4168" w14:textId="77777777" w:rsidR="00B52B5A" w:rsidRDefault="00B52B5A" w:rsidP="00497625"/>
    <w:p w14:paraId="36400D38" w14:textId="77777777" w:rsidR="00B52B5A" w:rsidRDefault="00B52B5A" w:rsidP="00497625">
      <w:r>
        <w:t>Cuban, L. (2020). Teaching and learning with technology: A historical perspective. Harvard Education Press.</w:t>
      </w:r>
    </w:p>
    <w:p w14:paraId="52480066" w14:textId="77777777" w:rsidR="00B52B5A" w:rsidRDefault="00B52B5A" w:rsidP="00497625"/>
    <w:p w14:paraId="2F4427D7" w14:textId="77777777" w:rsidR="00B52B5A" w:rsidRDefault="00B52B5A" w:rsidP="00497625">
      <w:r>
        <w:t>Department of Education. (2016). K to 12 curriculum guide: Technology and Livelihood Education (TLE) – Cookery. Department of Education, Philippines.</w:t>
      </w:r>
    </w:p>
    <w:p w14:paraId="64B93453" w14:textId="77777777" w:rsidR="00B52B5A" w:rsidRDefault="00B52B5A" w:rsidP="00497625"/>
    <w:p w14:paraId="30195076" w14:textId="77777777" w:rsidR="00B52B5A" w:rsidRDefault="00B52B5A" w:rsidP="00497625">
      <w:r>
        <w:t xml:space="preserve">Martin, F., &amp; </w:t>
      </w:r>
      <w:proofErr w:type="spellStart"/>
      <w:r>
        <w:t>Sunley</w:t>
      </w:r>
      <w:proofErr w:type="spellEnd"/>
      <w:r>
        <w:t>, R. (2021). QR codes as instructional tools: Enhancing engagement and accessibility in blended learning environments. Journal of Educational Technology Systems, 50(4), 458–472.</w:t>
      </w:r>
    </w:p>
    <w:p w14:paraId="56307F74" w14:textId="77777777" w:rsidR="00B52B5A" w:rsidRDefault="00B52B5A" w:rsidP="00497625"/>
    <w:p w14:paraId="1D967503" w14:textId="77777777" w:rsidR="00B52B5A" w:rsidRDefault="00B52B5A" w:rsidP="00497625">
      <w:r>
        <w:t>Miller, S. A. (2020). Scientific terminology in culinary education: Strengthening the bridge between science and cookery. Journal of Culinary Science &amp; Technology, 18(6), 490–503.</w:t>
      </w:r>
    </w:p>
    <w:p w14:paraId="3013AED6" w14:textId="77777777" w:rsidR="00B52B5A" w:rsidRDefault="00B52B5A" w:rsidP="00497625"/>
    <w:p w14:paraId="7E270ACD" w14:textId="77777777" w:rsidR="00B52B5A" w:rsidRDefault="00B52B5A" w:rsidP="00497625">
      <w:proofErr w:type="spellStart"/>
      <w:r>
        <w:t>Pascual</w:t>
      </w:r>
      <w:proofErr w:type="spellEnd"/>
      <w:r>
        <w:t>, A. G., &amp; Rivera, C. E. (2023). Development and validation of digital instructional materials for TLE learners. Philippine Normal University Research Journal, 31(1), 89–101.</w:t>
      </w:r>
    </w:p>
    <w:p w14:paraId="3AD64A1E" w14:textId="77777777" w:rsidR="00B52B5A" w:rsidRDefault="00B52B5A" w:rsidP="00497625"/>
    <w:p w14:paraId="49E62D1A" w14:textId="77777777" w:rsidR="00B52B5A" w:rsidRDefault="00B52B5A" w:rsidP="00497625">
      <w:proofErr w:type="spellStart"/>
      <w:r>
        <w:t>Sevilla</w:t>
      </w:r>
      <w:proofErr w:type="spellEnd"/>
      <w:r>
        <w:t>, C. G., &amp; Mendoza, A. I. (2019). Research methods in education and behavioral sciences. Rex Book Store.</w:t>
      </w:r>
    </w:p>
    <w:p w14:paraId="1E5D0DDF" w14:textId="77777777" w:rsidR="00B52B5A" w:rsidRDefault="00B52B5A" w:rsidP="00497625"/>
    <w:p w14:paraId="72E9EC2A" w14:textId="77777777" w:rsidR="00B52B5A" w:rsidRDefault="00B52B5A" w:rsidP="00497625">
      <w:r>
        <w:t>Cambridge University Press. (2021). Cambridge dictionary of scientific terms. Cambridge University Press.</w:t>
      </w:r>
    </w:p>
    <w:p w14:paraId="13160464" w14:textId="77777777" w:rsidR="00B52B5A" w:rsidRDefault="00B52B5A" w:rsidP="00497625"/>
    <w:p w14:paraId="4EB330D7" w14:textId="77777777" w:rsidR="00B52B5A" w:rsidRDefault="00B52B5A" w:rsidP="00497625">
      <w:r>
        <w:t>Creswell, J. W., &amp; Creswell, J. D. (2018). Research design: Qualitative, quantitative, and mixed methods approaches (5</w:t>
      </w:r>
      <w:r w:rsidRPr="00B52B5A">
        <w:rPr>
          <w:vertAlign w:val="superscript"/>
        </w:rPr>
        <w:t>th</w:t>
      </w:r>
      <w:r>
        <w:t xml:space="preserve"> ed.). SAGE Publications.</w:t>
      </w:r>
    </w:p>
    <w:p w14:paraId="4B659101" w14:textId="77777777" w:rsidR="00B52B5A" w:rsidRDefault="00B52B5A" w:rsidP="00497625"/>
    <w:p w14:paraId="1278B898" w14:textId="77777777" w:rsidR="00B52B5A" w:rsidRDefault="00B52B5A" w:rsidP="00497625">
      <w:proofErr w:type="spellStart"/>
      <w:r>
        <w:t>DepEd</w:t>
      </w:r>
      <w:proofErr w:type="spellEnd"/>
      <w:r>
        <w:t>. (2016). K to 12 curriculum guide: Technology and Livelihood Education (TLE) – Cookery. Department of Education.</w:t>
      </w:r>
    </w:p>
    <w:p w14:paraId="3C4E61E8" w14:textId="77777777" w:rsidR="00B52B5A" w:rsidRDefault="00B52B5A" w:rsidP="00497625"/>
    <w:p w14:paraId="260ECE16" w14:textId="77777777" w:rsidR="00B52B5A" w:rsidRDefault="00B52B5A" w:rsidP="00497625">
      <w:proofErr w:type="spellStart"/>
      <w:r>
        <w:t>Fredricks</w:t>
      </w:r>
      <w:proofErr w:type="spellEnd"/>
      <w:r>
        <w:t xml:space="preserve">, J. A., </w:t>
      </w:r>
      <w:proofErr w:type="spellStart"/>
      <w:r>
        <w:t>Blumenfeld</w:t>
      </w:r>
      <w:proofErr w:type="spellEnd"/>
      <w:r>
        <w:t>, P. C., &amp; Paris, A. H. (2004). School engagement: Potential of the concept, state of the evidence. Review of Educational Research, 74(1), 59–109.</w:t>
      </w:r>
    </w:p>
    <w:p w14:paraId="2104DC70" w14:textId="77777777" w:rsidR="00B52B5A" w:rsidRDefault="00B52B5A" w:rsidP="00497625"/>
    <w:p w14:paraId="5289823D" w14:textId="77777777" w:rsidR="00B52B5A" w:rsidRDefault="00B52B5A" w:rsidP="00497625">
      <w:r>
        <w:t>Gall, M. D., Gall, J. P., &amp; Borg, W. R. (2019). Educational research: An introduction (12</w:t>
      </w:r>
      <w:r w:rsidRPr="00B52B5A">
        <w:rPr>
          <w:vertAlign w:val="superscript"/>
        </w:rPr>
        <w:t>th</w:t>
      </w:r>
      <w:r>
        <w:t xml:space="preserve"> ed.). Pearson Education.</w:t>
      </w:r>
    </w:p>
    <w:p w14:paraId="005637EE" w14:textId="77777777" w:rsidR="00B52B5A" w:rsidRDefault="00B52B5A" w:rsidP="00497625"/>
    <w:p w14:paraId="06AC49CE" w14:textId="77777777" w:rsidR="00B52B5A" w:rsidRDefault="00B52B5A" w:rsidP="00497625">
      <w:r>
        <w:t xml:space="preserve">International Code of Nomenclature. (2018). Shenzhen code: International code of nomenclature for algae, fungi, and plants. </w:t>
      </w:r>
      <w:proofErr w:type="spellStart"/>
      <w:r>
        <w:t>Koeltz</w:t>
      </w:r>
      <w:proofErr w:type="spellEnd"/>
      <w:r>
        <w:t xml:space="preserve"> Botanical Books.</w:t>
      </w:r>
    </w:p>
    <w:p w14:paraId="1A981AFD" w14:textId="77777777" w:rsidR="00B52B5A" w:rsidRDefault="00B52B5A" w:rsidP="00497625"/>
    <w:p w14:paraId="585011C6" w14:textId="77777777" w:rsidR="00B52B5A" w:rsidRDefault="00B52B5A" w:rsidP="00497625">
      <w:r>
        <w:t xml:space="preserve">ISO. (2015). ISO/IEC 18004:2015 Information technology – Automatic identification and data capture techniques – QR code bar code </w:t>
      </w:r>
      <w:proofErr w:type="spellStart"/>
      <w:r>
        <w:t>symbology</w:t>
      </w:r>
      <w:proofErr w:type="spellEnd"/>
      <w:r>
        <w:t xml:space="preserve"> specification. International Organization for Standardization.</w:t>
      </w:r>
    </w:p>
    <w:p w14:paraId="12C6BA87" w14:textId="77777777" w:rsidR="00B52B5A" w:rsidRDefault="00B52B5A" w:rsidP="00497625"/>
    <w:p w14:paraId="6CEE83E3" w14:textId="77777777" w:rsidR="00B52B5A" w:rsidRDefault="00B52B5A" w:rsidP="00497625">
      <w:r>
        <w:t>Kirkwood, A., &amp; Price, L. (2014). Technology-enhanced learning and teaching in higher education: What is ‘enhanced’ and how do we know? Learning, Media and Technology, 39(1), 6–36.</w:t>
      </w:r>
    </w:p>
    <w:p w14:paraId="15469A2C" w14:textId="77777777" w:rsidR="00B52B5A" w:rsidRDefault="00B52B5A" w:rsidP="00497625"/>
    <w:p w14:paraId="50954374" w14:textId="74B55257" w:rsidR="00B52B5A" w:rsidRDefault="00B52B5A" w:rsidP="00497625">
      <w:r>
        <w:t xml:space="preserve">Merriam-Webster. (2023). Prototype. In Merriam-Webster.com dictionary. </w:t>
      </w:r>
      <w:hyperlink r:id="rId5" w:history="1">
        <w:r w:rsidRPr="00646428">
          <w:rPr>
            <w:rStyle w:val="Hyperlink"/>
          </w:rPr>
          <w:t>https://www.merriam-webster.com/dictionary/prototype</w:t>
        </w:r>
      </w:hyperlink>
    </w:p>
    <w:p w14:paraId="09499F32" w14:textId="77777777" w:rsidR="00B52B5A" w:rsidRDefault="00B52B5A" w:rsidP="00497625"/>
    <w:p w14:paraId="686D03C6" w14:textId="77777777" w:rsidR="00B52B5A" w:rsidRDefault="00B52B5A" w:rsidP="00497625">
      <w:r>
        <w:t>National Research Council. (1996). National science education standards. National Academy Press.</w:t>
      </w:r>
    </w:p>
    <w:p w14:paraId="3936AF20" w14:textId="77777777" w:rsidR="00B52B5A" w:rsidRDefault="00B52B5A" w:rsidP="00497625"/>
    <w:p w14:paraId="01E9438F" w14:textId="77777777" w:rsidR="00B52B5A" w:rsidRDefault="00B52B5A" w:rsidP="00497625">
      <w:r>
        <w:t>Nielsen, J. (2012). Usability 101: Introduction to usability. Nielsen Norman Group.</w:t>
      </w:r>
    </w:p>
    <w:p w14:paraId="6CD16BC2" w14:textId="77777777" w:rsidR="00B52B5A" w:rsidRDefault="00B52B5A" w:rsidP="00497625"/>
    <w:p w14:paraId="391FF521" w14:textId="77777777" w:rsidR="00B52B5A" w:rsidRDefault="00B52B5A" w:rsidP="00497625">
      <w:r>
        <w:t>Oxford University Press. (2022). Oxford learner’s dictionary of academic English. Oxford University Press.</w:t>
      </w:r>
    </w:p>
    <w:p w14:paraId="1A0BC2F0" w14:textId="77777777" w:rsidR="00B52B5A" w:rsidRDefault="00B52B5A" w:rsidP="00497625"/>
    <w:p w14:paraId="504243C2" w14:textId="77777777" w:rsidR="00B52B5A" w:rsidRDefault="00B52B5A" w:rsidP="00497625">
      <w:r>
        <w:t>Researcher’s Concept. (2025). Definition of SciCooks as developed instructional material. Unpublished.</w:t>
      </w:r>
    </w:p>
    <w:p w14:paraId="192E49C3" w14:textId="77777777" w:rsidR="00B52B5A" w:rsidRDefault="00B52B5A" w:rsidP="00497625"/>
    <w:p w14:paraId="1FD080FA" w14:textId="77777777" w:rsidR="00B52B5A" w:rsidRDefault="00B52B5A" w:rsidP="00497625">
      <w:proofErr w:type="spellStart"/>
      <w:r>
        <w:t>Seels</w:t>
      </w:r>
      <w:proofErr w:type="spellEnd"/>
      <w:r>
        <w:t>, B., &amp; Glasgow, Z. (1998). Making instructional design decisions (2</w:t>
      </w:r>
      <w:r w:rsidRPr="00B52B5A">
        <w:rPr>
          <w:vertAlign w:val="superscript"/>
        </w:rPr>
        <w:t>nd</w:t>
      </w:r>
      <w:r>
        <w:t xml:space="preserve"> ed.). Merrill/Prentice Hall.</w:t>
      </w:r>
    </w:p>
    <w:p w14:paraId="630100CE" w14:textId="77777777" w:rsidR="00D725E5" w:rsidRDefault="00D725E5" w:rsidP="00497625"/>
    <w:p w14:paraId="4E5FC21B" w14:textId="77777777" w:rsidR="00497625" w:rsidRDefault="00497625" w:rsidP="00497625"/>
    <w:sectPr w:rsidR="004976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33ADE"/>
    <w:multiLevelType w:val="hybridMultilevel"/>
    <w:tmpl w:val="290C3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0838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99"/>
    <w:rsid w:val="00497625"/>
    <w:rsid w:val="00822E56"/>
    <w:rsid w:val="00A60B99"/>
    <w:rsid w:val="00B52B5A"/>
    <w:rsid w:val="00D725E5"/>
    <w:rsid w:val="00EF7891"/>
    <w:rsid w:val="00FB1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1BE9EC"/>
  <w15:chartTrackingRefBased/>
  <w15:docId w15:val="{6437EE9A-56D8-6941-806F-B2F5AF63E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B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B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B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B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B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B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B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B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2B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2B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s://www.merriam-webster.com/dictionary/prototype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781</Words>
  <Characters>4456</Characters>
  <Application>Microsoft Office Word</Application>
  <DocSecurity>0</DocSecurity>
  <Lines>37</Lines>
  <Paragraphs>10</Paragraphs>
  <ScaleCrop>false</ScaleCrop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adelmaeanlas63@gmail.com</dc:creator>
  <cp:keywords/>
  <dc:description/>
  <cp:lastModifiedBy>adelmaeanlas63@gmail.com</cp:lastModifiedBy>
  <cp:revision>2</cp:revision>
  <dcterms:created xsi:type="dcterms:W3CDTF">2025-12-03T09:30:00Z</dcterms:created>
  <dcterms:modified xsi:type="dcterms:W3CDTF">2025-12-03T09:30:00Z</dcterms:modified>
</cp:coreProperties>
</file>