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Fraunces" w:cs="Fraunces" w:eastAsia="Fraunces" w:hAnsi="Fraunces"/>
          <w:b/>
          <w:bCs/>
          <w:color w:val="2B4C7E"/>
          <w:sz w:val="44"/>
          <w:szCs w:val="44"/>
        </w:rPr>
        <w:t xml:space="preserve">SERVICENOW (NOW)</w:t>
      </w:r>
    </w:p>
    <w:p>
      <w:pPr>
        <w:spacing w:after="60"/>
      </w:pPr>
      <w:r>
        <w:rPr>
          <w:rFonts w:ascii="Fraunces" w:cs="Fraunces" w:eastAsia="Fraunces" w:hAnsi="Fraunces"/>
          <w:b/>
          <w:bCs/>
          <w:color w:val="2C7A6B"/>
          <w:sz w:val="26"/>
          <w:szCs w:val="26"/>
        </w:rPr>
        <w:t xml:space="preserve">INVESTMENT MEMO — Q2 2026 EARNINGS REFRESH</w:t>
      </w:r>
    </w:p>
    <w:p>
      <w:pPr>
        <w:spacing w:after="4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1"/>
          <w:szCs w:val="21"/>
        </w:rPr>
        <w:t xml:space="preserve">Date: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July 23, 2026    </w:t>
      </w:r>
      <w:r>
        <w:rPr>
          <w:rFonts w:ascii="Inter" w:cs="Inter" w:eastAsia="Inter" w:hAnsi="Inter"/>
          <w:b/>
          <w:bCs/>
          <w:i w:val="false"/>
          <w:iCs w:val="false"/>
          <w:color w:val="1A1A1A"/>
          <w:sz w:val="21"/>
          <w:szCs w:val="21"/>
        </w:rPr>
        <w:t xml:space="preserve">Analyst: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Ed    </w:t>
      </w:r>
      <w:r>
        <w:rPr>
          <w:rFonts w:ascii="Inter" w:cs="Inter" w:eastAsia="Inter" w:hAnsi="Inter"/>
          <w:b/>
          <w:bCs/>
          <w:i w:val="false"/>
          <w:iCs w:val="false"/>
          <w:color w:val="1A1A1A"/>
          <w:sz w:val="21"/>
          <w:szCs w:val="21"/>
        </w:rPr>
        <w:t xml:space="preserve">Rating: </w:t>
      </w:r>
      <w:r>
        <w:rPr>
          <w:rFonts w:ascii="Inter" w:cs="Inter" w:eastAsia="Inter" w:hAnsi="Inter"/>
          <w:b/>
          <w:bCs/>
          <w:i w:val="false"/>
          <w:iCs w:val="false"/>
          <w:color w:val="2C7A6B"/>
          <w:sz w:val="21"/>
          <w:szCs w:val="21"/>
        </w:rPr>
        <w:t xml:space="preserve">BUY / ACCUMULATE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 (reaffirmed — higher conviction)</w:t>
      </w:r>
    </w:p>
    <w:p>
      <w:pPr>
        <w:pBdr>
          <w:bottom w:val="single" w:color="CCCCCC" w:sz="6" w:space="4"/>
        </w:pBdr>
        <w:spacing w:after="120"/>
      </w:pPr>
      <w:r>
        <w:rPr>
          <w:rFonts w:ascii="Inter" w:cs="Inter" w:eastAsia="Inter" w:hAnsi="Inter"/>
          <w:b w:val="false"/>
          <w:bCs w:val="false"/>
          <w:i/>
          <w:iCs/>
          <w:color w:val="555555"/>
          <w:sz w:val="19"/>
          <w:szCs w:val="19"/>
        </w:rPr>
        <w:t xml:space="preserve">Prior analysis: June 5, 2026 (BUY / ACCUMULATE @ $119.29).  Vehicle: long equity + cash-secured puts.</w:t>
      </w:r>
    </w:p>
    <w:p>
      <w:pPr>
        <w:pStyle w:val="Heading1"/>
        <w:pBdr>
          <w:bottom w:val="single" w:color="2C7A6B" w:sz="12" w:space="4"/>
        </w:pBdr>
        <w:spacing w:after="140" w:before="0"/>
      </w:pPr>
      <w:r>
        <w:rPr>
          <w:rFonts w:ascii="Fraunces" w:cs="Fraunces" w:eastAsia="Fraunces" w:hAnsi="Fraunces"/>
          <w:b/>
          <w:bCs/>
          <w:color w:val="2B4C7E"/>
          <w:sz w:val="30"/>
          <w:szCs w:val="30"/>
        </w:rPr>
        <w:t xml:space="preserve">1. Investment Summary</w:t>
      </w:r>
    </w:p>
    <w:p>
      <w:pPr>
        <w:spacing w:after="120"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ServiceNow reported a </w:t>
      </w:r>
      <w:r>
        <w:rPr>
          <w:rFonts w:ascii="Inter" w:cs="Inter" w:eastAsia="Inter" w:hAnsi="Inter"/>
          <w:b/>
          <w:bCs/>
          <w:i w:val="false"/>
          <w:iCs w:val="false"/>
          <w:color w:val="1A1A1A"/>
          <w:sz w:val="21"/>
          <w:szCs w:val="21"/>
        </w:rPr>
        <w:t xml:space="preserve">beat-and-raise Q2 2026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on July 22 — revenue growth </w:t>
      </w:r>
      <w:r>
        <w:rPr>
          <w:rFonts w:ascii="Inter" w:cs="Inter" w:eastAsia="Inter" w:hAnsi="Inter"/>
          <w:b/>
          <w:bCs/>
          <w:i w:val="false"/>
          <w:iCs w:val="false"/>
          <w:color w:val="2C7A6B"/>
          <w:sz w:val="21"/>
          <w:szCs w:val="21"/>
        </w:rPr>
        <w:t xml:space="preserve">accelerated to +24%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(from +22% in Q1), ServiceNow AI crossed </w:t>
      </w:r>
      <w:r>
        <w:rPr>
          <w:rFonts w:ascii="Inter" w:cs="Inter" w:eastAsia="Inter" w:hAnsi="Inter"/>
          <w:b/>
          <w:bCs/>
          <w:i w:val="false"/>
          <w:iCs w:val="false"/>
          <w:color w:val="1A1A1A"/>
          <w:sz w:val="21"/>
          <w:szCs w:val="21"/>
        </w:rPr>
        <w:t xml:space="preserve">$1B in ACV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and management nudged full-year subscription guidance higher. Yet the stock fell ~6.5% into the print and trades near </w:t>
      </w:r>
      <w:r>
        <w:rPr>
          <w:rFonts w:ascii="Inter" w:cs="Inter" w:eastAsia="Inter" w:hAnsi="Inter"/>
          <w:b/>
          <w:bCs/>
          <w:i w:val="false"/>
          <w:iCs w:val="false"/>
          <w:color w:val="1A1A1A"/>
          <w:sz w:val="21"/>
          <w:szCs w:val="21"/>
        </w:rPr>
        <w:t xml:space="preserve">$100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down ~16% from June's $119.29. The thesis from June is intact and the entry point is now cheaper: NOW sits ~28% below our base-case DCF and only ~7% above the bear case.</w:t>
      </w:r>
    </w:p>
    <w:p>
      <w:pPr>
        <w:spacing w:after="80" w:before="180"/>
      </w:pPr>
      <w:r>
        <w:rPr>
          <w:rFonts w:ascii="Fraunces" w:cs="Fraunces" w:eastAsia="Fraunces" w:hAnsi="Fraunces"/>
          <w:b/>
          <w:bCs/>
          <w:color w:val="2C7A6B"/>
          <w:sz w:val="24"/>
          <w:szCs w:val="24"/>
        </w:rPr>
        <w:t xml:space="preserve">Forward revenue-multiple scenarios (market-based cross-check to the DCF)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1980"/>
        <w:gridCol w:w="1980"/>
      </w:tblGrid>
      <w:tr>
        <w:trPr>
          <w:tblHeader/>
        </w:trPr>
        <w:tc>
          <w:tcPr>
            <w:tcW w:type="dxa" w:w="1500"/>
            <w:shd w:fill="2B4C7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900"/>
            <w:shd w:fill="2B4C7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Key drivers</w:t>
            </w:r>
          </w:p>
        </w:tc>
        <w:tc>
          <w:tcPr>
            <w:tcW w:type="dxa" w:w="1980"/>
            <w:shd w:fill="2B4C7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Rev × multiple</w:t>
            </w:r>
          </w:p>
        </w:tc>
        <w:tc>
          <w:tcPr>
            <w:tcW w:type="dxa" w:w="1980"/>
            <w:shd w:fill="2B4C7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Implied px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/>
                <w:bCs/>
                <w:color w:val="1A1A1A"/>
                <w:sz w:val="19"/>
                <w:szCs w:val="19"/>
              </w:rPr>
              <w:t xml:space="preserve">🐻 Bear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Growth fades to low-teens by FY2027; Microsoft Copilot / Salesforce Agentforce pressure AI workflows; multiple stays compressed at 5–6x.</w:t>
            </w:r>
          </w:p>
        </w:tc>
        <w:tc>
          <w:tcPr>
            <w:tcW w:type="dxa" w:w="1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$16.2B × 5.5x</w:t>
            </w:r>
          </w:p>
        </w:tc>
        <w:tc>
          <w:tcPr>
            <w:tcW w:type="dxa" w:w="1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/>
                <w:bCs/>
                <w:color w:val="1A1A1A"/>
                <w:sz w:val="19"/>
                <w:szCs w:val="19"/>
              </w:rPr>
              <w:t xml:space="preserve">~$85</w:t>
            </w:r>
          </w:p>
        </w:tc>
      </w:tr>
      <w:tr>
        <w:tc>
          <w:tcPr>
            <w:tcW w:type="dxa" w:w="1500"/>
            <w:shd w:fill="E4EA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/>
                <w:bCs/>
                <w:color w:val="1A1A1A"/>
                <w:sz w:val="19"/>
                <w:szCs w:val="19"/>
              </w:rPr>
              <w:t xml:space="preserve">⚖️ Base</w:t>
            </w:r>
          </w:p>
        </w:tc>
        <w:tc>
          <w:tcPr>
            <w:tcW w:type="dxa" w:w="3900"/>
            <w:shd w:fill="E4EA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FY2026 sub-rev guide (~$15.77B) holds; FCF margin normalizes toward 40% in FY2027; cRPO compounds ~20%; multiple re-rates to 8x.</w:t>
            </w:r>
          </w:p>
        </w:tc>
        <w:tc>
          <w:tcPr>
            <w:tcW w:type="dxa" w:w="1980"/>
            <w:shd w:fill="E4EA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$16.2B × 8.0x</w:t>
            </w:r>
          </w:p>
        </w:tc>
        <w:tc>
          <w:tcPr>
            <w:tcW w:type="dxa" w:w="1980"/>
            <w:shd w:fill="E4EA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/>
                <w:bCs/>
                <w:color w:val="1A1A1A"/>
                <w:sz w:val="19"/>
                <w:szCs w:val="19"/>
              </w:rPr>
              <w:t xml:space="preserve">~$125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/>
                <w:bCs/>
                <w:color w:val="1A1A1A"/>
                <w:sz w:val="19"/>
                <w:szCs w:val="19"/>
              </w:rPr>
              <w:t xml:space="preserve">🐂 Bull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Growth reaccelerates on AI ACV to $1.5B+; agentic workflows lift NRR; FCF margin recovers to 42–44%; SaaS multiples re-rate to 12x.</w:t>
            </w:r>
          </w:p>
        </w:tc>
        <w:tc>
          <w:tcPr>
            <w:tcW w:type="dxa" w:w="1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$16.5B × 12x</w:t>
            </w:r>
          </w:p>
        </w:tc>
        <w:tc>
          <w:tcPr>
            <w:tcW w:type="dxa" w:w="1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/>
                <w:bCs/>
                <w:color w:val="1A1A1A"/>
                <w:sz w:val="19"/>
                <w:szCs w:val="19"/>
              </w:rPr>
              <w:t xml:space="preserve">~$191</w:t>
            </w:r>
          </w:p>
        </w:tc>
      </w:tr>
    </w:tbl>
    <w:p>
      <w:pPr>
        <w:spacing w:after="120" w:line="276"/>
      </w:pPr>
      <w:r>
        <w:rPr>
          <w:rFonts w:ascii="Inter" w:cs="Inter" w:eastAsia="Inter" w:hAnsi="Inter"/>
          <w:b w:val="false"/>
          <w:bCs w:val="false"/>
          <w:i/>
          <w:iCs/>
          <w:color w:val="555555"/>
          <w:sz w:val="19"/>
          <w:szCs w:val="19"/>
        </w:rPr>
        <w:t xml:space="preserve">At ~$100, NOW trades at a ~22% discount to base-case DCF ($127.69) — a rare entry for a best-in-class enterprise-AI platform. Full DCF in Section 6.</w:t>
      </w:r>
    </w:p>
    <w:p>
      <w:pPr>
        <w:pStyle w:val="Heading1"/>
        <w:pBdr>
          <w:bottom w:val="single" w:color="2C7A6B" w:sz="12" w:space="4"/>
        </w:pBdr>
        <w:spacing w:after="140" w:before="120"/>
      </w:pPr>
      <w:r>
        <w:br w:type="page"/>
      </w:r>
      <w:r>
        <w:rPr>
          <w:rFonts w:ascii="Fraunces" w:cs="Fraunces" w:eastAsia="Fraunces" w:hAnsi="Fraunces"/>
          <w:b/>
          <w:bCs/>
          <w:color w:val="2B4C7E"/>
          <w:sz w:val="30"/>
          <w:szCs w:val="30"/>
        </w:rPr>
        <w:t xml:space="preserve">2. Q2 2026 Results &amp; Business Snapshot</w:t>
      </w:r>
    </w:p>
    <w:p>
      <w:pPr>
        <w:spacing w:after="120" w:line="276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ServiceNow is the enterprise AI platform and workflow-automation leader — the "AI control tower" across IT, HR, Customer Service, Finance, Security and Operations, serving 85% of the Fortune 500. Q2 2026 figures (post the 5-for-1 split of Dec 2025):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80"/>
        <w:gridCol w:w="1990"/>
        <w:gridCol w:w="1990"/>
      </w:tblGrid>
      <w:tr>
        <w:trPr>
          <w:tblHeader/>
        </w:trPr>
        <w:tc>
          <w:tcPr>
            <w:tcW w:type="dxa" w:w="3400"/>
            <w:shd w:fill="2B4C7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980"/>
            <w:shd w:fill="2B4C7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Q2 2026</w:t>
            </w:r>
          </w:p>
        </w:tc>
        <w:tc>
          <w:tcPr>
            <w:tcW w:type="dxa" w:w="1990"/>
            <w:shd w:fill="2B4C7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Q1 2026</w:t>
            </w:r>
          </w:p>
        </w:tc>
        <w:tc>
          <w:tcPr>
            <w:tcW w:type="dxa" w:w="1990"/>
            <w:shd w:fill="2B4C7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YoY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Total revenue</w:t>
            </w:r>
          </w:p>
        </w:tc>
        <w:tc>
          <w:tcPr>
            <w:tcW w:type="dxa" w:w="1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$3,987M</w:t>
            </w:r>
          </w:p>
        </w:tc>
        <w:tc>
          <w:tcPr>
            <w:tcW w:type="dxa" w:w="19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$3,770M</w:t>
            </w:r>
          </w:p>
        </w:tc>
        <w:tc>
          <w:tcPr>
            <w:tcW w:type="dxa" w:w="19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/>
                <w:bCs/>
                <w:color w:val="2C7A6B"/>
                <w:sz w:val="19"/>
                <w:szCs w:val="19"/>
              </w:rPr>
              <w:t xml:space="preserve">+24%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Subscription revenue</w:t>
            </w:r>
          </w:p>
        </w:tc>
        <w:tc>
          <w:tcPr>
            <w:tcW w:type="dxa" w:w="198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$3,877M</w:t>
            </w:r>
          </w:p>
        </w:tc>
        <w:tc>
          <w:tcPr>
            <w:tcW w:type="dxa" w:w="199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$3,671M</w:t>
            </w:r>
          </w:p>
        </w:tc>
        <w:tc>
          <w:tcPr>
            <w:tcW w:type="dxa" w:w="199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/>
                <w:bCs/>
                <w:color w:val="2C7A6B"/>
                <w:sz w:val="19"/>
                <w:szCs w:val="19"/>
              </w:rPr>
              <w:t xml:space="preserve">+24.5%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cRPO (current RPO)</w:t>
            </w:r>
          </w:p>
        </w:tc>
        <w:tc>
          <w:tcPr>
            <w:tcW w:type="dxa" w:w="1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$13.20B</w:t>
            </w:r>
          </w:p>
        </w:tc>
        <w:tc>
          <w:tcPr>
            <w:tcW w:type="dxa" w:w="19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$12.64B</w:t>
            </w:r>
          </w:p>
        </w:tc>
        <w:tc>
          <w:tcPr>
            <w:tcW w:type="dxa" w:w="19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+21%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Total RPO</w:t>
            </w:r>
          </w:p>
        </w:tc>
        <w:tc>
          <w:tcPr>
            <w:tcW w:type="dxa" w:w="198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$29.0B</w:t>
            </w:r>
          </w:p>
        </w:tc>
        <w:tc>
          <w:tcPr>
            <w:tcW w:type="dxa" w:w="199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$27.7B</w:t>
            </w:r>
          </w:p>
        </w:tc>
        <w:tc>
          <w:tcPr>
            <w:tcW w:type="dxa" w:w="199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+21%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Non-GAAP operating margin</w:t>
            </w:r>
          </w:p>
        </w:tc>
        <w:tc>
          <w:tcPr>
            <w:tcW w:type="dxa" w:w="1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29.5%</w:t>
            </w:r>
          </w:p>
        </w:tc>
        <w:tc>
          <w:tcPr>
            <w:tcW w:type="dxa" w:w="19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32.0%</w:t>
            </w:r>
          </w:p>
        </w:tc>
        <w:tc>
          <w:tcPr>
            <w:tcW w:type="dxa" w:w="19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−2.5 pts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Non-GAAP FCF (margin)</w:t>
            </w:r>
          </w:p>
        </w:tc>
        <w:tc>
          <w:tcPr>
            <w:tcW w:type="dxa" w:w="198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$634M (16%)</w:t>
            </w:r>
          </w:p>
        </w:tc>
        <w:tc>
          <w:tcPr>
            <w:tcW w:type="dxa" w:w="199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$1,665M (44%)</w:t>
            </w:r>
          </w:p>
        </w:tc>
        <w:tc>
          <w:tcPr>
            <w:tcW w:type="dxa" w:w="199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seasonal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Non-GAAP diluted EPS</w:t>
            </w:r>
          </w:p>
        </w:tc>
        <w:tc>
          <w:tcPr>
            <w:tcW w:type="dxa" w:w="19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$0.90</w:t>
            </w:r>
          </w:p>
        </w:tc>
        <w:tc>
          <w:tcPr>
            <w:tcW w:type="dxa" w:w="19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$0.97</w:t>
            </w:r>
          </w:p>
        </w:tc>
        <w:tc>
          <w:tcPr>
            <w:tcW w:type="dxa" w:w="19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beat ~$0.85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GAAP operating margin</w:t>
            </w:r>
          </w:p>
        </w:tc>
        <w:tc>
          <w:tcPr>
            <w:tcW w:type="dxa" w:w="198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4%</w:t>
            </w:r>
          </w:p>
        </w:tc>
        <w:tc>
          <w:tcPr>
            <w:tcW w:type="dxa" w:w="199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13.5%</w:t>
            </w:r>
          </w:p>
        </w:tc>
        <w:tc>
          <w:tcPr>
            <w:tcW w:type="dxa" w:w="199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deal costs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1"/>
          <w:szCs w:val="21"/>
        </w:rPr>
        <w:t xml:space="preserve">AI momentum: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ServiceNow AI crossed $1B in ACV (on track to beat the $1.5B year-end target); customers running agentic AI in production grew ~9x over nine months; Pro Plus SKU pricing uplift above 30%.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1"/>
          <w:szCs w:val="21"/>
        </w:rPr>
        <w:t xml:space="preserve">Demand quality: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123 net-new-ACV transactions over $1M (+40% YoY); 658 customers with &gt;$5M ACV (+23% YoY).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1"/>
          <w:szCs w:val="21"/>
        </w:rPr>
        <w:t xml:space="preserve">Guidance (raised):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FY2026 subscription revenue $15,760–$15,780M (+22.5%); non-GAAP operating margin 31.5% and FCF margin 35% held. Q3: sub-rev $3,975–$3,980M (+20.5%), cRPO ~+20%, op margin 31%.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1"/>
          <w:szCs w:val="21"/>
        </w:rPr>
        <w:t xml:space="preserve">Balance sheet shift: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cash + investments ~$6.7B against total debt ~$7.5B — a </w:t>
      </w:r>
      <w:r>
        <w:rPr>
          <w:rFonts w:ascii="Inter" w:cs="Inter" w:eastAsia="Inter" w:hAnsi="Inter"/>
          <w:b/>
          <w:bCs/>
          <w:i w:val="false"/>
          <w:iCs w:val="false"/>
          <w:color w:val="1A1A1A"/>
          <w:sz w:val="21"/>
          <w:szCs w:val="21"/>
        </w:rPr>
        <w:t xml:space="preserve">slight net-debt position (~−$810M)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vs. +$3.7B net cash in June, after a May debt raise and the Moveworks/Veza/Armis closings.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1"/>
          <w:szCs w:val="21"/>
        </w:rPr>
        <w:t xml:space="preserve">Reference price: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~$100 (July 22 close $95.46, −6.5%; after-hours ~$99.90 on the beat). 52-week range $81.24–$210.20; market cap ~$103B.</w:t>
      </w:r>
    </w:p>
    <w:p>
      <w:pPr>
        <w:pStyle w:val="Heading1"/>
        <w:pBdr>
          <w:bottom w:val="single" w:color="2C7A6B" w:sz="12" w:space="4"/>
        </w:pBdr>
        <w:spacing w:after="140" w:before="120"/>
      </w:pPr>
      <w:r>
        <w:br w:type="page"/>
      </w:r>
      <w:r>
        <w:rPr>
          <w:rFonts w:ascii="Fraunces" w:cs="Fraunces" w:eastAsia="Fraunces" w:hAnsi="Fraunces"/>
          <w:b/>
          <w:bCs/>
          <w:color w:val="2B4C7E"/>
          <w:sz w:val="30"/>
          <w:szCs w:val="30"/>
        </w:rPr>
        <w:t xml:space="preserve">3. What Changed Since June 5 (Retrospective Signal Check)</w:t>
      </w:r>
    </w:p>
    <w:p>
      <w:pPr>
        <w:spacing w:after="120"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material-change threshold was crossed this quarter: a </w:t>
      </w:r>
      <w:r>
        <w:rPr>
          <w:rFonts w:ascii="Inter" w:cs="Inter" w:eastAsia="Inter" w:hAnsi="Inter"/>
          <w:b/>
          <w:bCs/>
          <w:i w:val="false"/>
          <w:iCs w:val="false"/>
          <w:color w:val="1A1A1A"/>
          <w:sz w:val="21"/>
          <w:szCs w:val="21"/>
        </w:rPr>
        <w:t xml:space="preserve">capital-structure change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ServiceNow moved from a ~$3.7B net-cash position to a ~$810M net-debt position after raising debt in May 2026 and closing three acquisitions (Moveworks, Veza, Armis). Revenue-guidance and margin revisions were immaterial (guide midpoint up ~$15M; margins held), so this section focuses on the capital-structure signal and the price action.</w:t>
      </w:r>
    </w:p>
    <w:p>
      <w:pPr>
        <w:spacing w:after="80" w:before="180"/>
      </w:pPr>
      <w:r>
        <w:rPr>
          <w:rFonts w:ascii="Fraunces" w:cs="Fraunces" w:eastAsia="Fraunces" w:hAnsi="Fraunces"/>
          <w:b/>
          <w:bCs/>
          <w:color w:val="2C7A6B"/>
          <w:sz w:val="24"/>
          <w:szCs w:val="24"/>
        </w:rPr>
        <w:t xml:space="preserve">Fundamentals vs. price: they diverged in your favor</w:t>
      </w:r>
    </w:p>
    <w:p>
      <w:pPr>
        <w:spacing w:after="120"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Since June 5 the business got </w:t>
      </w:r>
      <w:r>
        <w:rPr>
          <w:rFonts w:ascii="Inter" w:cs="Inter" w:eastAsia="Inter" w:hAnsi="Inter"/>
          <w:b/>
          <w:bCs/>
          <w:i w:val="false"/>
          <w:iCs w:val="false"/>
          <w:color w:val="1A1A1A"/>
          <w:sz w:val="21"/>
          <w:szCs w:val="21"/>
        </w:rPr>
        <w:t xml:space="preserve">better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(growth +22%→+24%, AI ACV through $1B, guidance raised) while the stock got </w:t>
      </w:r>
      <w:r>
        <w:rPr>
          <w:rFonts w:ascii="Inter" w:cs="Inter" w:eastAsia="Inter" w:hAnsi="Inter"/>
          <w:b/>
          <w:bCs/>
          <w:i w:val="false"/>
          <w:iCs w:val="false"/>
          <w:color w:val="1A1A1A"/>
          <w:sz w:val="21"/>
          <w:szCs w:val="21"/>
        </w:rPr>
        <w:t xml:space="preserve">cheaper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(−16% to ~$100). This is the same "valuation reset, not fundamental deterioration" pattern flagged in the June memo — now more pronounced. Our base-case DCF is essentially unchanged ($128.46 → $127.69), so the entire move is multiple compression, not a lower intrinsic value.</w:t>
      </w:r>
    </w:p>
    <w:p>
      <w:pPr>
        <w:spacing w:after="80" w:before="180"/>
      </w:pPr>
      <w:r>
        <w:rPr>
          <w:rFonts w:ascii="Fraunces" w:cs="Fraunces" w:eastAsia="Fraunces" w:hAnsi="Fraunces"/>
          <w:b/>
          <w:bCs/>
          <w:color w:val="2C7A6B"/>
          <w:sz w:val="24"/>
          <w:szCs w:val="24"/>
        </w:rPr>
        <w:t xml:space="preserve">Could we have seen the net-debt shift coming?</w:t>
      </w:r>
    </w:p>
    <w:p>
      <w:pPr>
        <w:spacing w:after="120"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Yes — it was telegraphed. The June memo already flagged Armis (closed Apr 20) and Veza (closed Mar 2) as margin headwinds and TAM expansion. The natural corollary of an M&amp;A-forward strategy against ~35% FCF-margin guidance is that deal spend plus a debt raise would consume the net-cash cushion. Moveworks added to that. The signal to watch going forward is </w:t>
      </w:r>
      <w:r>
        <w:rPr>
          <w:rFonts w:ascii="Inter" w:cs="Inter" w:eastAsia="Inter" w:hAnsi="Inter"/>
          <w:b/>
          <w:bCs/>
          <w:i w:val="false"/>
          <w:iCs w:val="false"/>
          <w:color w:val="1A1A1A"/>
          <w:sz w:val="21"/>
          <w:szCs w:val="21"/>
        </w:rPr>
        <w:t xml:space="preserve">net leverage and the FCF-margin recovery path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management committed to integrate all three deals this year and "start 2027 with the same headcount," which should let FCF margin climb back toward 40% in FY2027 and rebuild net cash. If that recovery slips, the bear case gains weight.</w:t>
      </w:r>
    </w:p>
    <w:p>
      <w:pPr>
        <w:spacing w:after="80" w:before="180"/>
      </w:pPr>
      <w:r>
        <w:rPr>
          <w:rFonts w:ascii="Fraunces" w:cs="Fraunces" w:eastAsia="Fraunces" w:hAnsi="Fraunces"/>
          <w:b/>
          <w:bCs/>
          <w:color w:val="2C7A6B"/>
          <w:sz w:val="24"/>
          <w:szCs w:val="24"/>
        </w:rPr>
        <w:t xml:space="preserve">Methodology correction applied this refresh</w:t>
      </w:r>
    </w:p>
    <w:p>
      <w:pPr>
        <w:spacing w:after="120"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June DCF used three different discount rates (10% / 11% / 12% for bull/base/bear), which violates the single-WACC rule and artificially widened the spread. This refresh applies a </w:t>
      </w:r>
      <w:r>
        <w:rPr>
          <w:rFonts w:ascii="Inter" w:cs="Inter" w:eastAsia="Inter" w:hAnsi="Inter"/>
          <w:b/>
          <w:bCs/>
          <w:i w:val="false"/>
          <w:iCs w:val="false"/>
          <w:color w:val="1A1A1A"/>
          <w:sz w:val="21"/>
          <w:szCs w:val="21"/>
        </w:rPr>
        <w:t xml:space="preserve">single 11% WACC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across all scenarios; only growth, margin and terminal assumptions differ. That — plus the net-debt adjustment — brings the bull case to $156 (vs. the June memo's $185). The base case is nearly unchanged, confirming the correction affects the tails, not the central estimate.</w:t>
      </w:r>
    </w:p>
    <w:p>
      <w:pPr>
        <w:pStyle w:val="Heading1"/>
        <w:pBdr>
          <w:bottom w:val="single" w:color="2C7A6B" w:sz="12" w:space="4"/>
        </w:pBdr>
        <w:spacing w:after="140" w:before="120"/>
      </w:pPr>
      <w:r>
        <w:br w:type="page"/>
      </w:r>
      <w:r>
        <w:rPr>
          <w:rFonts w:ascii="Fraunces" w:cs="Fraunces" w:eastAsia="Fraunces" w:hAnsi="Fraunces"/>
          <w:b/>
          <w:bCs/>
          <w:color w:val="2B4C7E"/>
          <w:sz w:val="30"/>
          <w:szCs w:val="30"/>
        </w:rPr>
        <w:t xml:space="preserve">4. Bull Case</w:t>
      </w:r>
    </w:p>
    <w:p>
      <w:pPr>
        <w:spacing w:after="80" w:before="180"/>
      </w:pPr>
      <w:r>
        <w:rPr>
          <w:rFonts w:ascii="Fraunces" w:cs="Fraunces" w:eastAsia="Fraunces" w:hAnsi="Fraunces"/>
          <w:b/>
          <w:bCs/>
          <w:color w:val="2C7A6B"/>
          <w:sz w:val="24"/>
          <w:szCs w:val="24"/>
        </w:rPr>
        <w:t xml:space="preserve">cRPO is the leading indicator — $13.2B contracted</w:t>
      </w:r>
    </w:p>
    <w:p>
      <w:pPr>
        <w:spacing w:after="120" w:line="276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cRPO of $13.2B (+21%) and total RPO of $29.0B are contracted future revenue that de-risk the next several years. A backlog larger than most software companies' entire annual revenue gives extraordinary visibility into FY2027.</w:t>
      </w:r>
    </w:p>
    <w:p>
      <w:pPr>
        <w:spacing w:after="80" w:before="180"/>
      </w:pPr>
      <w:r>
        <w:rPr>
          <w:rFonts w:ascii="Fraunces" w:cs="Fraunces" w:eastAsia="Fraunces" w:hAnsi="Fraunces"/>
          <w:b/>
          <w:bCs/>
          <w:color w:val="2C7A6B"/>
          <w:sz w:val="24"/>
          <w:szCs w:val="24"/>
        </w:rPr>
        <w:t xml:space="preserve">AI ACV crossed $1B and is compounding</w:t>
      </w:r>
    </w:p>
    <w:p>
      <w:pPr>
        <w:spacing w:after="120" w:line="276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ServiceNow AI passed $1B in ACV in Q2 and is tracking to beat $1.5B by year-end. Unlike bolt-on copilots, Now Assist executes actions inside the workflow engine; agentic-AI production usage grew ~9x in nine months, and new AI-native SKUs carry 20–30%+ pricing uplift.</w:t>
      </w:r>
    </w:p>
    <w:p>
      <w:pPr>
        <w:spacing w:after="80" w:before="180"/>
      </w:pPr>
      <w:r>
        <w:rPr>
          <w:rFonts w:ascii="Fraunces" w:cs="Fraunces" w:eastAsia="Fraunces" w:hAnsi="Fraunces"/>
          <w:b/>
          <w:bCs/>
          <w:color w:val="2C7A6B"/>
          <w:sz w:val="24"/>
          <w:szCs w:val="24"/>
        </w:rPr>
        <w:t xml:space="preserve">The selloff is a valuation reset, not deterioration</w:t>
      </w:r>
    </w:p>
    <w:p>
      <w:pPr>
        <w:spacing w:after="120" w:line="276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NOW beat on revenue, cRPO and EPS and raised guidance — and still fell. At ~$100 the stock is ~52% below its 52-week high while the business grows 24%. That is multiple compression, the exact setup the June thesis was built on.</w:t>
      </w:r>
    </w:p>
    <w:p>
      <w:pPr>
        <w:spacing w:after="80" w:before="180"/>
      </w:pPr>
      <w:r>
        <w:rPr>
          <w:rFonts w:ascii="Fraunces" w:cs="Fraunces" w:eastAsia="Fraunces" w:hAnsi="Fraunces"/>
          <w:b/>
          <w:bCs/>
          <w:color w:val="2C7A6B"/>
          <w:sz w:val="24"/>
          <w:szCs w:val="24"/>
        </w:rPr>
        <w:t xml:space="preserve">Platform + security TAM expansion</w:t>
      </w:r>
    </w:p>
    <w:p>
      <w:pPr>
        <w:spacing w:after="120" w:line="276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Armis (asset intelligence) and Veza (identity governance) push ServiceNow into the $100B+ cybersecurity market; Moveworks adds front-end AI. The platform is becoming the AI control plane for the enterprise, not just IT workflow.</w:t>
      </w:r>
    </w:p>
    <w:p>
      <w:pPr>
        <w:spacing w:after="80" w:before="180"/>
      </w:pPr>
      <w:r>
        <w:rPr>
          <w:rFonts w:ascii="Fraunces" w:cs="Fraunces" w:eastAsia="Fraunces" w:hAnsi="Fraunces"/>
          <w:b/>
          <w:bCs/>
          <w:color w:val="2C7A6B"/>
          <w:sz w:val="24"/>
          <w:szCs w:val="24"/>
        </w:rPr>
        <w:t xml:space="preserve">Exceptional, expanding customer economics</w:t>
      </w:r>
    </w:p>
    <w:p>
      <w:pPr>
        <w:spacing w:after="120" w:line="276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658 customers &gt;$5M ACV (+23%) and 123 net-new &gt;$1M ACV transactions (+40%) show land-and-expand accelerating, with Now Assist upsell at near-zero incremental acquisition cost.</w:t>
      </w:r>
    </w:p>
    <w:p>
      <w:pPr>
        <w:pStyle w:val="Heading1"/>
        <w:pBdr>
          <w:bottom w:val="single" w:color="2C7A6B" w:sz="12" w:space="4"/>
        </w:pBdr>
        <w:spacing w:after="140" w:before="120"/>
      </w:pPr>
      <w:r>
        <w:br w:type="page"/>
      </w:r>
      <w:r>
        <w:rPr>
          <w:rFonts w:ascii="Fraunces" w:cs="Fraunces" w:eastAsia="Fraunces" w:hAnsi="Fraunces"/>
          <w:b/>
          <w:bCs/>
          <w:color w:val="2B4C7E"/>
          <w:sz w:val="30"/>
          <w:szCs w:val="30"/>
        </w:rPr>
        <w:t xml:space="preserve">5. Bear Case</w:t>
      </w:r>
    </w:p>
    <w:p>
      <w:pPr>
        <w:spacing w:after="80" w:before="180"/>
      </w:pPr>
      <w:r>
        <w:rPr>
          <w:rFonts w:ascii="Fraunces" w:cs="Fraunces" w:eastAsia="Fraunces" w:hAnsi="Fraunces"/>
          <w:b/>
          <w:bCs/>
          <w:color w:val="2C7A6B"/>
          <w:sz w:val="24"/>
          <w:szCs w:val="24"/>
        </w:rPr>
        <w:t xml:space="preserve">Net cash became net debt</w:t>
      </w:r>
    </w:p>
    <w:p>
      <w:pPr>
        <w:spacing w:after="120" w:line="276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The ~$810M net-debt position removes the balance-sheet cushion that supported the June thesis. Continued M&amp;A plus a lower FCF-margin year (35% guide) means less flexibility and more sensitivity to any growth stumble.</w:t>
      </w:r>
    </w:p>
    <w:p>
      <w:pPr>
        <w:spacing w:after="80" w:before="180"/>
      </w:pPr>
      <w:r>
        <w:rPr>
          <w:rFonts w:ascii="Fraunces" w:cs="Fraunces" w:eastAsia="Fraunces" w:hAnsi="Fraunces"/>
          <w:b/>
          <w:bCs/>
          <w:color w:val="2C7A6B"/>
          <w:sz w:val="24"/>
          <w:szCs w:val="24"/>
        </w:rPr>
        <w:t xml:space="preserve">GAAP margin optics and the GAAP/non-GAAP wedge</w:t>
      </w:r>
    </w:p>
    <w:p>
      <w:pPr>
        <w:spacing w:after="120" w:line="276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GAAP operating margin collapsed to 4% on acquisition costs, intangible amortization and elevated stock comp. Non-GAAP 29.5% is the cleaner run-rate, but the widening wedge matters to valuation when rates are elevated and integration runs long.</w:t>
      </w:r>
    </w:p>
    <w:p>
      <w:pPr>
        <w:spacing w:after="80" w:before="180"/>
      </w:pPr>
      <w:r>
        <w:rPr>
          <w:rFonts w:ascii="Fraunces" w:cs="Fraunces" w:eastAsia="Fraunces" w:hAnsi="Fraunces"/>
          <w:b/>
          <w:bCs/>
          <w:color w:val="2C7A6B"/>
          <w:sz w:val="24"/>
          <w:szCs w:val="24"/>
        </w:rPr>
        <w:t xml:space="preserve">Growth is still decelerating on the guide</w:t>
      </w:r>
    </w:p>
    <w:p>
      <w:pPr>
        <w:spacing w:after="120" w:line="276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Q2 printed +24%, but Q3 subscription guidance is +20.5% and cRPO growth eased to ~21% (with FX headwinds). The trajectory is toward the low-20s/high-teens — the bear case assumes it keeps sliding.</w:t>
      </w:r>
    </w:p>
    <w:p>
      <w:pPr>
        <w:spacing w:after="80" w:before="180"/>
      </w:pPr>
      <w:r>
        <w:rPr>
          <w:rFonts w:ascii="Fraunces" w:cs="Fraunces" w:eastAsia="Fraunces" w:hAnsi="Fraunces"/>
          <w:b/>
          <w:bCs/>
          <w:color w:val="2C7A6B"/>
          <w:sz w:val="24"/>
          <w:szCs w:val="24"/>
        </w:rPr>
        <w:t xml:space="preserve">Microsoft and Salesforce competition intensifies</w:t>
      </w:r>
    </w:p>
    <w:p>
      <w:pPr>
        <w:spacing w:after="120" w:line="276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Copilot is embedded across 365 (billions of seats) and Agentforce targets CRM/CS workflows. ServiceNow's IT moat is deep, but the HR/Finance/CS adjacencies the bull case needs are contested ground.</w:t>
      </w:r>
    </w:p>
    <w:p>
      <w:pPr>
        <w:pStyle w:val="Heading1"/>
        <w:pBdr>
          <w:bottom w:val="single" w:color="2C7A6B" w:sz="12" w:space="4"/>
        </w:pBdr>
        <w:spacing w:after="140" w:before="120"/>
      </w:pPr>
      <w:r>
        <w:br w:type="page"/>
      </w:r>
      <w:r>
        <w:rPr>
          <w:rFonts w:ascii="Fraunces" w:cs="Fraunces" w:eastAsia="Fraunces" w:hAnsi="Fraunces"/>
          <w:b/>
          <w:bCs/>
          <w:color w:val="2B4C7E"/>
          <w:sz w:val="30"/>
          <w:szCs w:val="30"/>
        </w:rPr>
        <w:t xml:space="preserve">6. DCF Valuation</w:t>
      </w:r>
    </w:p>
    <w:p>
      <w:pPr>
        <w:spacing w:after="120"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Single 11% WACC across all scenarios (methodology-compliant). FY2026 revenue base ~$16.2B (sub-rev guide + services). Equity value nets the ~$810M net-debt position; 1,034M diluted shares. Numbers below are reconciled to the live Excel model.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20"/>
        <w:gridCol w:w="2220"/>
        <w:gridCol w:w="2220"/>
      </w:tblGrid>
      <w:tr>
        <w:trPr>
          <w:tblHeader/>
        </w:trPr>
        <w:tc>
          <w:tcPr>
            <w:tcW w:type="dxa" w:w="2700"/>
            <w:shd w:fill="2B4C7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20"/>
            <w:shd w:fill="2B4C7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🐂 Bull</w:t>
            </w:r>
          </w:p>
        </w:tc>
        <w:tc>
          <w:tcPr>
            <w:tcW w:type="dxa" w:w="2220"/>
            <w:shd w:fill="2B4C7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⚖️ Base</w:t>
            </w:r>
          </w:p>
        </w:tc>
        <w:tc>
          <w:tcPr>
            <w:tcW w:type="dxa" w:w="2220"/>
            <w:shd w:fill="2B4C7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🐻 Bear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Single WACC</w:t>
            </w:r>
          </w:p>
        </w:tc>
        <w:tc>
          <w:tcPr>
            <w:tcW w:type="dxa" w:w="22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11%</w:t>
            </w:r>
          </w:p>
        </w:tc>
        <w:tc>
          <w:tcPr>
            <w:tcW w:type="dxa" w:w="22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11%</w:t>
            </w:r>
          </w:p>
        </w:tc>
        <w:tc>
          <w:tcPr>
            <w:tcW w:type="dxa" w:w="22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11%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Terminal growth</w:t>
            </w:r>
          </w:p>
        </w:tc>
        <w:tc>
          <w:tcPr>
            <w:tcW w:type="dxa" w:w="22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4.0%</w:t>
            </w:r>
          </w:p>
        </w:tc>
        <w:tc>
          <w:tcPr>
            <w:tcW w:type="dxa" w:w="22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3.5%</w:t>
            </w:r>
          </w:p>
        </w:tc>
        <w:tc>
          <w:tcPr>
            <w:tcW w:type="dxa" w:w="22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3.0%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FY27→FY30 rev growth</w:t>
            </w:r>
          </w:p>
        </w:tc>
        <w:tc>
          <w:tcPr>
            <w:tcW w:type="dxa" w:w="22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23→16%</w:t>
            </w:r>
          </w:p>
        </w:tc>
        <w:tc>
          <w:tcPr>
            <w:tcW w:type="dxa" w:w="22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21→13%</w:t>
            </w:r>
          </w:p>
        </w:tc>
        <w:tc>
          <w:tcPr>
            <w:tcW w:type="dxa" w:w="22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16→9%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Terminal FCF margin</w:t>
            </w:r>
          </w:p>
        </w:tc>
        <w:tc>
          <w:tcPr>
            <w:tcW w:type="dxa" w:w="22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44%</w:t>
            </w:r>
          </w:p>
        </w:tc>
        <w:tc>
          <w:tcPr>
            <w:tcW w:type="dxa" w:w="22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41%</w:t>
            </w:r>
          </w:p>
        </w:tc>
        <w:tc>
          <w:tcPr>
            <w:tcW w:type="dxa" w:w="22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36%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Enterprise value</w:t>
            </w:r>
          </w:p>
        </w:tc>
        <w:tc>
          <w:tcPr>
            <w:tcW w:type="dxa" w:w="22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$162.4B</w:t>
            </w:r>
          </w:p>
        </w:tc>
        <w:tc>
          <w:tcPr>
            <w:tcW w:type="dxa" w:w="22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$132.8B</w:t>
            </w:r>
          </w:p>
        </w:tc>
        <w:tc>
          <w:tcPr>
            <w:tcW w:type="dxa" w:w="22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$96.9B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Equity value (− net debt)</w:t>
            </w:r>
          </w:p>
        </w:tc>
        <w:tc>
          <w:tcPr>
            <w:tcW w:type="dxa" w:w="22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$161.6B</w:t>
            </w:r>
          </w:p>
        </w:tc>
        <w:tc>
          <w:tcPr>
            <w:tcW w:type="dxa" w:w="22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$132.0B</w:t>
            </w:r>
          </w:p>
        </w:tc>
        <w:tc>
          <w:tcPr>
            <w:tcW w:type="dxa" w:w="222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$96.1B</w:t>
            </w:r>
          </w:p>
        </w:tc>
      </w:tr>
      <w:tr>
        <w:tc>
          <w:tcPr>
            <w:tcW w:type="dxa" w:w="2700"/>
            <w:shd w:fill="E4EA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/>
                <w:bCs/>
                <w:color w:val="1A1A1A"/>
                <w:sz w:val="19"/>
                <w:szCs w:val="19"/>
              </w:rPr>
              <w:t xml:space="preserve">Intrinsic value / share</w:t>
            </w:r>
          </w:p>
        </w:tc>
        <w:tc>
          <w:tcPr>
            <w:tcW w:type="dxa" w:w="2220"/>
            <w:shd w:fill="E4EA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/>
                <w:bCs/>
                <w:color w:val="2C7A6B"/>
                <w:sz w:val="19"/>
                <w:szCs w:val="19"/>
              </w:rPr>
              <w:t xml:space="preserve">$156.31</w:t>
            </w:r>
          </w:p>
        </w:tc>
        <w:tc>
          <w:tcPr>
            <w:tcW w:type="dxa" w:w="2220"/>
            <w:shd w:fill="E4EA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/>
                <w:bCs/>
                <w:color w:val="2B4C7E"/>
                <w:sz w:val="19"/>
                <w:szCs w:val="19"/>
              </w:rPr>
              <w:t xml:space="preserve">$127.69</w:t>
            </w:r>
          </w:p>
        </w:tc>
        <w:tc>
          <w:tcPr>
            <w:tcW w:type="dxa" w:w="2220"/>
            <w:shd w:fill="E4EA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/>
                <w:bCs/>
                <w:color w:val="1A1A1A"/>
                <w:sz w:val="19"/>
                <w:szCs w:val="19"/>
              </w:rPr>
              <w:t xml:space="preserve">$92.90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/>
                <w:bCs/>
                <w:color w:val="1A1A1A"/>
                <w:sz w:val="19"/>
                <w:szCs w:val="19"/>
              </w:rPr>
              <w:t xml:space="preserve">vs. current (~$100)</w:t>
            </w:r>
          </w:p>
        </w:tc>
        <w:tc>
          <w:tcPr>
            <w:tcW w:type="dxa" w:w="22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/>
                <w:bCs/>
                <w:color w:val="2C7A6B"/>
                <w:sz w:val="19"/>
                <w:szCs w:val="19"/>
              </w:rPr>
              <w:t xml:space="preserve">+56%</w:t>
            </w:r>
          </w:p>
        </w:tc>
        <w:tc>
          <w:tcPr>
            <w:tcW w:type="dxa" w:w="22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/>
                <w:bCs/>
                <w:color w:val="2C7A6B"/>
                <w:sz w:val="19"/>
                <w:szCs w:val="19"/>
              </w:rPr>
              <w:t xml:space="preserve">+28%</w:t>
            </w:r>
          </w:p>
        </w:tc>
        <w:tc>
          <w:tcPr>
            <w:tcW w:type="dxa" w:w="22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/>
                <w:bCs/>
                <w:color w:val="1A1A1A"/>
                <w:sz w:val="19"/>
                <w:szCs w:val="19"/>
              </w:rPr>
              <w:t xml:space="preserve">−7%</w:t>
            </w:r>
          </w:p>
        </w:tc>
      </w:tr>
    </w:tbl>
    <w:p>
      <w:pPr>
        <w:spacing w:after="120" w:line="276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1"/>
          <w:szCs w:val="21"/>
        </w:rPr>
        <w:t xml:space="preserve">Key insight: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at ~$100, NOW is ~28% below base-case intrinsic value and only ~7% above the bear case. Risk/reward is sharply asymmetric — +56% to the bull case versus −7% to the bear. Versus June (7% discount to base at $119.29), the ~16% price decline widened the margin of safety while the base case held.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i/>
          <w:iCs/>
          <w:color w:val="555555"/>
          <w:sz w:val="19"/>
          <w:szCs w:val="19"/>
        </w:rPr>
        <w:t xml:space="preserve">June comparison: </w:t>
      </w:r>
      <w:r>
        <w:rPr>
          <w:rFonts w:ascii="Inter" w:cs="Inter" w:eastAsia="Inter" w:hAnsi="Inter"/>
          <w:b w:val="false"/>
          <w:bCs w:val="false"/>
          <w:i/>
          <w:iCs/>
          <w:color w:val="555555"/>
          <w:sz w:val="19"/>
          <w:szCs w:val="19"/>
        </w:rPr>
        <w:t xml:space="preserve">bull $185.38 → $156.31, base $128.46 → $127.69, bear $82.50 → $92.90. The bull compression is a methodology correction (single WACC + net-debt), not a weaker thesis; the base is effectively flat.</w:t>
      </w:r>
    </w:p>
    <w:p>
      <w:pPr>
        <w:pStyle w:val="Heading1"/>
        <w:pBdr>
          <w:bottom w:val="single" w:color="2C7A6B" w:sz="12" w:space="4"/>
        </w:pBdr>
        <w:spacing w:after="140" w:before="120"/>
      </w:pPr>
      <w:r>
        <w:br w:type="page"/>
      </w:r>
      <w:r>
        <w:rPr>
          <w:rFonts w:ascii="Fraunces" w:cs="Fraunces" w:eastAsia="Fraunces" w:hAnsi="Fraunces"/>
          <w:b/>
          <w:bCs/>
          <w:color w:val="2B4C7E"/>
          <w:sz w:val="30"/>
          <w:szCs w:val="30"/>
        </w:rPr>
        <w:t xml:space="preserve">7. Rule of 40 Analysis</w:t>
      </w:r>
    </w:p>
    <w:p>
      <w:pPr>
        <w:spacing w:after="120" w:line="276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Rule of 40 = revenue growth % + FCF (or operating) margin 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580"/>
        <w:gridCol w:w="1580"/>
        <w:gridCol w:w="1600"/>
      </w:tblGrid>
      <w:tr>
        <w:trPr>
          <w:tblHeader/>
        </w:trPr>
        <w:tc>
          <w:tcPr>
            <w:tcW w:type="dxa" w:w="4600"/>
            <w:shd w:fill="2B4C7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1580"/>
            <w:shd w:fill="2B4C7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Growth</w:t>
            </w:r>
          </w:p>
        </w:tc>
        <w:tc>
          <w:tcPr>
            <w:tcW w:type="dxa" w:w="1580"/>
            <w:shd w:fill="2B4C7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Margin</w:t>
            </w:r>
          </w:p>
        </w:tc>
        <w:tc>
          <w:tcPr>
            <w:tcW w:type="dxa" w:w="1600"/>
            <w:shd w:fill="2B4C7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FY2026 (sub growth + FCF margin)</w:t>
            </w:r>
          </w:p>
        </w:tc>
        <w:tc>
          <w:tcPr>
            <w:tcW w:type="dxa" w:w="15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22.5%</w:t>
            </w:r>
          </w:p>
        </w:tc>
        <w:tc>
          <w:tcPr>
            <w:tcW w:type="dxa" w:w="15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35%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/>
                <w:bCs/>
                <w:color w:val="2C7A6B"/>
                <w:sz w:val="19"/>
                <w:szCs w:val="19"/>
              </w:rPr>
              <w:t xml:space="preserve">57.5</w:t>
            </w:r>
          </w:p>
        </w:tc>
      </w:tr>
      <w:tr>
        <w:tc>
          <w:tcPr>
            <w:tcW w:type="dxa" w:w="4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Q2 2026 (rev growth + non-GAAP op)</w:t>
            </w:r>
          </w:p>
        </w:tc>
        <w:tc>
          <w:tcPr>
            <w:tcW w:type="dxa" w:w="158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24%</w:t>
            </w:r>
          </w:p>
        </w:tc>
        <w:tc>
          <w:tcPr>
            <w:tcW w:type="dxa" w:w="158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29.5%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/>
                <w:bCs/>
                <w:color w:val="1A1A1A"/>
                <w:sz w:val="19"/>
                <w:szCs w:val="19"/>
              </w:rPr>
              <w:t xml:space="preserve">53.5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Q2 2026 (rev growth + FCF, quarterly)</w:t>
            </w:r>
          </w:p>
        </w:tc>
        <w:tc>
          <w:tcPr>
            <w:tcW w:type="dxa" w:w="15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24%</w:t>
            </w:r>
          </w:p>
        </w:tc>
        <w:tc>
          <w:tcPr>
            <w:tcW w:type="dxa" w:w="15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16%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40 (seasonal trough)</w:t>
            </w:r>
          </w:p>
        </w:tc>
      </w:tr>
    </w:tbl>
    <w:p>
      <w:pPr>
        <w:spacing w:after="120"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On a full-year basis NOW scores ~57 — McDermott's "Rule of 56, well on the way to Rule of 60." The FCF-margin leg (35% guide) is at its M&amp;A-integration trough; normalization toward 40% in FY2027 pushes the score to ~62. The quarterly FCF reading (40) is a seasonal artifact — Q1 FCF is front-loaded, Q2 is the low point — and should not be read as deterioration.</w:t>
      </w:r>
    </w:p>
    <w:p>
      <w:pPr>
        <w:pStyle w:val="Heading1"/>
        <w:pBdr>
          <w:bottom w:val="single" w:color="2C7A6B" w:sz="12" w:space="4"/>
        </w:pBdr>
        <w:spacing w:after="140" w:before="120"/>
      </w:pPr>
      <w:r>
        <w:br w:type="page"/>
      </w:r>
      <w:r>
        <w:rPr>
          <w:rFonts w:ascii="Fraunces" w:cs="Fraunces" w:eastAsia="Fraunces" w:hAnsi="Fraunces"/>
          <w:b/>
          <w:bCs/>
          <w:color w:val="2B4C7E"/>
          <w:sz w:val="30"/>
          <w:szCs w:val="30"/>
        </w:rPr>
        <w:t xml:space="preserve">8. Peer Comparables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50"/>
        <w:gridCol w:w="1750"/>
        <w:gridCol w:w="1580"/>
        <w:gridCol w:w="1340"/>
        <w:gridCol w:w="1340"/>
      </w:tblGrid>
      <w:tr>
        <w:trPr>
          <w:tblHeader/>
        </w:trPr>
        <w:tc>
          <w:tcPr>
            <w:tcW w:type="dxa" w:w="1600"/>
            <w:shd w:fill="2B4C7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1750"/>
            <w:shd w:fill="2B4C7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Rev growth</w:t>
            </w:r>
          </w:p>
        </w:tc>
        <w:tc>
          <w:tcPr>
            <w:tcW w:type="dxa" w:w="1750"/>
            <w:shd w:fill="2B4C7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FCF margin</w:t>
            </w:r>
          </w:p>
        </w:tc>
        <w:tc>
          <w:tcPr>
            <w:tcW w:type="dxa" w:w="1580"/>
            <w:shd w:fill="2B4C7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Rule 40</w:t>
            </w:r>
          </w:p>
        </w:tc>
        <w:tc>
          <w:tcPr>
            <w:tcW w:type="dxa" w:w="1340"/>
            <w:shd w:fill="2B4C7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EV/Sales</w:t>
            </w:r>
          </w:p>
        </w:tc>
        <w:tc>
          <w:tcPr>
            <w:tcW w:type="dxa" w:w="1340"/>
            <w:shd w:fill="2B4C7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EV/FCF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/>
                <w:bCs/>
                <w:color w:val="2C7A6B"/>
                <w:sz w:val="19"/>
                <w:szCs w:val="19"/>
              </w:rPr>
              <w:t xml:space="preserve">NOW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~23.5%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~35%</w:t>
            </w:r>
          </w:p>
        </w:tc>
        <w:tc>
          <w:tcPr>
            <w:tcW w:type="dxa" w:w="15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/>
                <w:bCs/>
                <w:color w:val="1A1A1A"/>
                <w:sz w:val="19"/>
                <w:szCs w:val="19"/>
              </w:rPr>
              <w:t xml:space="preserve">~58</w:t>
            </w:r>
          </w:p>
        </w:tc>
        <w:tc>
          <w:tcPr>
            <w:tcW w:type="dxa" w:w="1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/>
                <w:bCs/>
                <w:color w:val="1A1A1A"/>
                <w:sz w:val="19"/>
                <w:szCs w:val="19"/>
              </w:rPr>
              <w:t xml:space="preserve">7.5x</w:t>
            </w:r>
          </w:p>
        </w:tc>
        <w:tc>
          <w:tcPr>
            <w:tcW w:type="dxa" w:w="1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21x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PLTR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63%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55%</w:t>
            </w:r>
          </w:p>
        </w:tc>
        <w:tc>
          <w:tcPr>
            <w:tcW w:type="dxa" w:w="158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118</w:t>
            </w:r>
          </w:p>
        </w:tc>
        <w:tc>
          <w:tcPr>
            <w:tcW w:type="dxa" w:w="13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42x</w:t>
            </w:r>
          </w:p>
        </w:tc>
        <w:tc>
          <w:tcPr>
            <w:tcW w:type="dxa" w:w="13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80x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CRM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9%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32%</w:t>
            </w:r>
          </w:p>
        </w:tc>
        <w:tc>
          <w:tcPr>
            <w:tcW w:type="dxa" w:w="15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41</w:t>
            </w:r>
          </w:p>
        </w:tc>
        <w:tc>
          <w:tcPr>
            <w:tcW w:type="dxa" w:w="1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6.0x</w:t>
            </w:r>
          </w:p>
        </w:tc>
        <w:tc>
          <w:tcPr>
            <w:tcW w:type="dxa" w:w="1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19x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SNOW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24%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20%</w:t>
            </w:r>
          </w:p>
        </w:tc>
        <w:tc>
          <w:tcPr>
            <w:tcW w:type="dxa" w:w="158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44</w:t>
            </w:r>
          </w:p>
        </w:tc>
        <w:tc>
          <w:tcPr>
            <w:tcW w:type="dxa" w:w="13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11x</w:t>
            </w:r>
          </w:p>
        </w:tc>
        <w:tc>
          <w:tcPr>
            <w:tcW w:type="dxa" w:w="13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50x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DDOG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23%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26%</w:t>
            </w:r>
          </w:p>
        </w:tc>
        <w:tc>
          <w:tcPr>
            <w:tcW w:type="dxa" w:w="15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49</w:t>
            </w:r>
          </w:p>
        </w:tc>
        <w:tc>
          <w:tcPr>
            <w:tcW w:type="dxa" w:w="1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13x</w:t>
            </w:r>
          </w:p>
        </w:tc>
        <w:tc>
          <w:tcPr>
            <w:tcW w:type="dxa" w:w="1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52x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CRWD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20%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28%</w:t>
            </w:r>
          </w:p>
        </w:tc>
        <w:tc>
          <w:tcPr>
            <w:tcW w:type="dxa" w:w="158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48</w:t>
            </w:r>
          </w:p>
        </w:tc>
        <w:tc>
          <w:tcPr>
            <w:tcW w:type="dxa" w:w="13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18x</w:t>
            </w:r>
          </w:p>
        </w:tc>
        <w:tc>
          <w:tcPr>
            <w:tcW w:type="dxa" w:w="13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66x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WDAY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13%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26%</w:t>
            </w:r>
          </w:p>
        </w:tc>
        <w:tc>
          <w:tcPr>
            <w:tcW w:type="dxa" w:w="15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39</w:t>
            </w:r>
          </w:p>
        </w:tc>
        <w:tc>
          <w:tcPr>
            <w:tcW w:type="dxa" w:w="1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5.5x</w:t>
            </w:r>
          </w:p>
        </w:tc>
        <w:tc>
          <w:tcPr>
            <w:tcW w:type="dxa" w:w="1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1A1A1A"/>
                <w:sz w:val="19"/>
                <w:szCs w:val="19"/>
              </w:rPr>
              <w:t xml:space="preserve">22x</w:t>
            </w:r>
          </w:p>
        </w:tc>
      </w:tr>
    </w:tbl>
    <w:p>
      <w:pPr>
        <w:spacing w:after="120"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NOW trades at ~7.5x forward EV/Sales — the cheapest high-quality SaaS name on a Rule-of-40-adjusted basis (SNOW 11x and DDOG 13x with lower scores). A re-rate to just 10x EV/Sales implies roughly $150/share.</w:t>
      </w:r>
    </w:p>
    <w:p>
      <w:pPr>
        <w:pStyle w:val="Heading1"/>
        <w:pBdr>
          <w:bottom w:val="single" w:color="2C7A6B" w:sz="12" w:space="4"/>
        </w:pBdr>
        <w:spacing w:after="140" w:before="120"/>
      </w:pPr>
      <w:r>
        <w:br w:type="page"/>
      </w:r>
      <w:r>
        <w:rPr>
          <w:rFonts w:ascii="Fraunces" w:cs="Fraunces" w:eastAsia="Fraunces" w:hAnsi="Fraunces"/>
          <w:b/>
          <w:bCs/>
          <w:color w:val="2B4C7E"/>
          <w:sz w:val="30"/>
          <w:szCs w:val="30"/>
        </w:rPr>
        <w:t xml:space="preserve">9. Technical Setup</w:t>
      </w:r>
    </w:p>
    <w:p>
      <w:pPr>
        <w:spacing w:after="20" w:before="60"/>
        <w:jc w:val="center"/>
      </w:pPr>
      <w:r>
        <w:drawing>
          <wp:inline distT="0" distB="0" distL="0" distR="0">
            <wp:extent cx="59436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Inter" w:cs="Inter" w:eastAsia="Inter" w:hAnsi="Inter"/>
          <w:b w:val="false"/>
          <w:bCs w:val="false"/>
          <w:i/>
          <w:iCs/>
          <w:color w:val="555555"/>
          <w:sz w:val="18"/>
          <w:szCs w:val="18"/>
        </w:rPr>
        <w:t xml:space="preserve">NOW Daily Chart — SMA 20/50/200 | Source: Finviz.com | July 23, 2026</w:t>
      </w:r>
    </w:p>
    <w:p>
      <w:pPr>
        <w:spacing w:after="120"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Reference price ~$100 (post-print). 52-week range $81.24–$210.20; ~52% below the 52-week high. Per the chart, 50-day SMA ~$104 and 200-day SMA ~$128 — NOW sits below both. Notably the 200-day (~$128) coincides with our base-case DCF, so reclaiming it would mark both a technical and a valuation inflection.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1"/>
          <w:szCs w:val="21"/>
        </w:rPr>
        <w:t xml:space="preserve">Support: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$95 (July 22 close), $88, $81.24 (52-week low).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1"/>
          <w:szCs w:val="21"/>
        </w:rPr>
        <w:t xml:space="preserve">Resistance: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$104 (50-day), $110, $120 (June level), $128 (200-day).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1"/>
          <w:szCs w:val="21"/>
        </w:rPr>
        <w:t xml:space="preserve">Interpretation: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post-earnings pop from a compressed base. Reclaiming $110–$120 would confirm a trend change; failure to hold ~$95 reopens the $88/$81 zone. The ~$90–$110 band is the accumulation zone — below intrinsic value and near technical support.</w:t>
      </w:r>
    </w:p>
    <w:p>
      <w:pPr>
        <w:pStyle w:val="Heading1"/>
        <w:pBdr>
          <w:bottom w:val="single" w:color="2C7A6B" w:sz="12" w:space="4"/>
        </w:pBdr>
        <w:spacing w:after="140" w:before="120"/>
      </w:pPr>
      <w:r>
        <w:br w:type="page"/>
      </w:r>
      <w:r>
        <w:rPr>
          <w:rFonts w:ascii="Fraunces" w:cs="Fraunces" w:eastAsia="Fraunces" w:hAnsi="Fraunces"/>
          <w:b/>
          <w:bCs/>
          <w:color w:val="2B4C7E"/>
          <w:sz w:val="30"/>
          <w:szCs w:val="30"/>
        </w:rPr>
        <w:t xml:space="preserve">10. Options Strategy</w:t>
      </w:r>
    </w:p>
    <w:p>
      <w:pPr>
        <w:spacing w:after="120"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Setup: stock ~$100, base-case DCF ~$128 (+28%), only ~7% above bear. The options market priced a ~6–12% earnings move that has largely been realized, so expect post-earnings IV crush — favorable for premium selling.</w:t>
      </w:r>
    </w:p>
    <w:p>
      <w:pPr>
        <w:spacing w:after="80" w:before="180"/>
      </w:pPr>
      <w:r>
        <w:rPr>
          <w:rFonts w:ascii="Fraunces" w:cs="Fraunces" w:eastAsia="Fraunces" w:hAnsi="Fraunces"/>
          <w:b/>
          <w:bCs/>
          <w:color w:val="2C7A6B"/>
          <w:sz w:val="24"/>
          <w:szCs w:val="24"/>
        </w:rPr>
        <w:t xml:space="preserve">Cash-secured put (build the position)</w:t>
      </w:r>
    </w:p>
    <w:p>
      <w:pPr>
        <w:spacing w:after="120" w:line="276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Sell the ~$90 put, 8–10 weeks out, for roughly $4–6 credit. If assigned, effective basis ~$85 — about 11% below the bear-case DCF and near multi-quarter support. Highest-conviction way to add at a discount.</w:t>
      </w:r>
    </w:p>
    <w:p>
      <w:pPr>
        <w:spacing w:after="80" w:before="180"/>
      </w:pPr>
      <w:r>
        <w:rPr>
          <w:rFonts w:ascii="Fraunces" w:cs="Fraunces" w:eastAsia="Fraunces" w:hAnsi="Fraunces"/>
          <w:b/>
          <w:bCs/>
          <w:color w:val="2C7A6B"/>
          <w:sz w:val="24"/>
          <w:szCs w:val="24"/>
        </w:rPr>
        <w:t xml:space="preserve">Long call spread (defined-risk bull)</w:t>
      </w:r>
    </w:p>
    <w:p>
      <w:pPr>
        <w:spacing w:after="120" w:line="276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Buy the $100 / sell the $130 call, Jan-2027. Net debit ~$10–12; max profit ~$18 if NOW reaches $130. Profitable before the stock even reaches base-case intrinsic value ($128). Preferred for non-holders.</w:t>
      </w:r>
    </w:p>
    <w:p>
      <w:pPr>
        <w:spacing w:after="80" w:before="180"/>
      </w:pPr>
      <w:r>
        <w:rPr>
          <w:rFonts w:ascii="Fraunces" w:cs="Fraunces" w:eastAsia="Fraunces" w:hAnsi="Fraunces"/>
          <w:b/>
          <w:bCs/>
          <w:color w:val="2C7A6B"/>
          <w:sz w:val="24"/>
          <w:szCs w:val="24"/>
        </w:rPr>
        <w:t xml:space="preserve">Covered call (existing holders)</w:t>
      </w:r>
    </w:p>
    <w:p>
      <w:pPr>
        <w:spacing w:after="120" w:line="276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Sell the ~$120 call, 6–8 weeks, for ~$3–5. Income while the stock sits below intrinsic value; roll up if $120 is breached. Only if willing to cap near $120.</w:t>
      </w:r>
    </w:p>
    <w:p>
      <w:pPr>
        <w:spacing w:after="80" w:before="180"/>
      </w:pPr>
      <w:r>
        <w:rPr>
          <w:rFonts w:ascii="Fraunces" w:cs="Fraunces" w:eastAsia="Fraunces" w:hAnsi="Fraunces"/>
          <w:b/>
          <w:bCs/>
          <w:color w:val="2C7A6B"/>
          <w:sz w:val="24"/>
          <w:szCs w:val="24"/>
        </w:rPr>
        <w:t xml:space="preserve">LEAP call (high conviction)</w:t>
      </w:r>
    </w:p>
    <w:p>
      <w:pPr>
        <w:spacing w:after="120" w:line="276"/>
      </w:pPr>
      <w:r>
        <w:rPr>
          <w:rFonts w:ascii="Inter" w:cs="Inter" w:eastAsia="Inter" w:hAnsi="Inter"/>
          <w:color w:val="1A1A1A"/>
          <w:sz w:val="21"/>
          <w:szCs w:val="21"/>
        </w:rPr>
        <w:t xml:space="preserve">Buy the Jan-2028 $110 call for ~$18–22. Nineteen months to be right on the recovery thesis; 3–5x potential if NOW reaches $150+.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1"/>
          <w:szCs w:val="21"/>
        </w:rPr>
        <w:t xml:space="preserve">Risk management: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premiums are per-cycle yields, not annualized. Size so a bear-case ~$93 outcome stays within portfolio risk limits.</w:t>
      </w:r>
    </w:p>
    <w:p>
      <w:pPr>
        <w:pStyle w:val="Heading1"/>
        <w:pBdr>
          <w:bottom w:val="single" w:color="2C7A6B" w:sz="12" w:space="4"/>
        </w:pBdr>
        <w:spacing w:after="140" w:before="120"/>
      </w:pPr>
      <w:r>
        <w:br w:type="page"/>
      </w:r>
      <w:r>
        <w:rPr>
          <w:rFonts w:ascii="Fraunces" w:cs="Fraunces" w:eastAsia="Fraunces" w:hAnsi="Fraunces"/>
          <w:b/>
          <w:bCs/>
          <w:color w:val="2B4C7E"/>
          <w:sz w:val="30"/>
          <w:szCs w:val="30"/>
        </w:rPr>
        <w:t xml:space="preserve">11. Verdict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i w:val="false"/>
          <w:iCs w:val="false"/>
          <w:color w:val="2C7A6B"/>
          <w:sz w:val="24"/>
          <w:szCs w:val="24"/>
        </w:rPr>
        <w:t xml:space="preserve">RATING: BUY / ACCUMULATE</w:t>
      </w:r>
    </w:p>
    <w:p>
      <w:pPr>
        <w:spacing w:after="120"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ServiceNow delivered a beat-and-raise with accelerating growth (+24%), $13.2B of contracted cRPO, AI ACV through $1B, and a raised full-year guide — and the stock is ~16% cheaper than it was in June. Our base-case DCF is essentially unchanged at $127.69, so at ~$100 the margin of safety widened: ~28% upside to base, ~56% to bull, and only ~7% downside to bear. The June thesis — a valuation reset, not a fundamental one — held, and the setup improved.</w:t>
      </w:r>
    </w:p>
    <w:p>
      <w:pPr>
        <w:spacing w:after="120"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one real change to underwrite is the balance sheet: NOW is now modestly net-debt (~−$810M) after the debt raise and the Moveworks/Veza/Armis closings. That was foreseeable from June's M&amp;A signals and is manageable given a 35%-and-recovering FCF-margin profile, but it lowers the cushion — watch the FY2027 FCF-margin recovery and net-leverage path. GAAP margins will stay optically noisy through integration; the non-GAAP run-rate (29.5% operating) is the truer read.</w:t>
      </w:r>
    </w:p>
    <w:p>
      <w:pPr>
        <w:spacing w:after="120" w:line="276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1"/>
          <w:szCs w:val="21"/>
        </w:rPr>
        <w:t xml:space="preserve">Action: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accumulate equity in the ~$90–$110 zone and sell cash-secured $90 puts to build at a discount, while holding a $100–$130 (Jan-2027) call spread for defined-risk recovery exposure. This is a higher-conviction reaffirmation of the June BUY, at a better price.</w:t>
      </w:r>
    </w:p>
    <w:p>
      <w:pPr>
        <w:pBdr>
          <w:top w:val="single" w:color="CCCCCC" w:sz="6" w:space="6"/>
        </w:pBdr>
        <w:spacing w:before="200"/>
      </w:pPr>
      <w:r>
        <w:rPr>
          <w:rFonts w:ascii="Inter" w:cs="Inter" w:eastAsia="Inter" w:hAnsi="Inter"/>
          <w:b/>
          <w:bCs/>
          <w:i w:val="false"/>
          <w:iCs w:val="false"/>
          <w:color w:val="555555"/>
          <w:sz w:val="17"/>
          <w:szCs w:val="17"/>
        </w:rPr>
        <w:t xml:space="preserve">Sources: </w:t>
      </w:r>
      <w:r>
        <w:rPr>
          <w:rFonts w:ascii="Inter" w:cs="Inter" w:eastAsia="Inter" w:hAnsi="Inter"/>
          <w:b w:val="false"/>
          <w:bCs w:val="false"/>
          <w:i/>
          <w:iCs/>
          <w:color w:val="555555"/>
          <w:sz w:val="17"/>
          <w:szCs w:val="17"/>
        </w:rPr>
        <w:t xml:space="preserve">ServiceNow Q2 2026 earnings release (8-K Ex-99.1, SEC EDGAR accession 0001373715-26-000072, filed 2026-07-22); ServiceNow Q2 2026 earnings call transcript; ServiceNow Newsroom; prior June 5, 2026 NOW investment memo. Reference price from market data as of 2026-07-22/23. This memo is for informational purposes only and is not financial advice.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999999"/>
        <w:sz w:val="15"/>
        <w:szCs w:val="15"/>
      </w:rPr>
      <w:t xml:space="preserve">ServiceNow (NOW) — Q2 2026 Refresh  •  Page </w:t>
    </w:r>
    <w:r>
      <w:rPr>
        <w:rFonts w:ascii="Inter" w:cs="Inter" w:eastAsia="Inter" w:hAnsi="Inter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color w:val="999999"/>
        <w:sz w:val="15"/>
        <w:szCs w:val="15"/>
      </w:rPr>
      <w:t xml:space="preserve">CONFIDENTIAL — INVESTMENT MEMO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2C7A6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756eeeb508ddc3a757e6a19bd0cdb3025fc02b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2026-07-23T00:58:57.030Z</dcterms:created>
  <dcterms:modified xsi:type="dcterms:W3CDTF">2026-07-23T00:58:57.032Z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