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36"/>
          <w:szCs w:val="36"/>
        </w:rPr>
        <w:t xml:space="preserve">FSLY (Fastly, Inc.) — INVESTMENT MEMO</w:t>
      </w:r>
    </w:p>
    <w:p>
      <w:pPr>
        <w:spacing w:after="160"/>
      </w:pPr>
      <w:r>
        <w:rPr>
          <w:rFonts w:ascii="Arial" w:cs="Arial" w:eastAsia="Arial" w:hAnsi="Arial"/>
          <w:i/>
          <w:iCs/>
          <w:color w:val="555555"/>
          <w:sz w:val="20"/>
          <w:szCs w:val="20"/>
        </w:rPr>
        <w:t xml:space="preserve">Date: August 11, 2026  |  Analyst: Ed  |  Rating: HOLD — Trim into strength; do not add  |  Vehicle: Long equity  |  Q2 2026 quarterly update (prior: June 8, 2026)</w:t>
      </w:r>
    </w:p>
    <w:p>
      <w:pPr>
        <w:pStyle w:val="Heading1"/>
        <w:spacing w:after="200" w:before="0"/>
      </w:pPr>
      <w:r>
        <w:rPr>
          <w:rFonts w:ascii="Arial" w:cs="Arial" w:eastAsia="Arial" w:hAnsi="Arial"/>
          <w:b/>
          <w:bCs/>
          <w:color w:val="1F4E79"/>
          <w:sz w:val="28"/>
          <w:szCs w:val="28"/>
        </w:rPr>
        <w:t xml:space="preserve">1. Investment Summary</w:t>
      </w:r>
    </w:p>
    <w:p>
      <w:pPr>
        <w:spacing w:after="160"/>
      </w:pPr>
      <w:r>
        <w:rPr>
          <w:rFonts w:ascii="Arial" w:cs="Arial" w:eastAsia="Arial" w:hAnsi="Arial"/>
          <w:sz w:val="24"/>
          <w:szCs w:val="24"/>
        </w:rPr>
        <w:t xml:space="preserve">Fastly trades at $27.75 after a +20.9% single-day surge on August 10 — its highest level since early 2024 — on Q2 2026 results that beat across the board and a raised full-year outlook. Revenue grew 23% YoY to $183.3M, Security grew 43%, non-GAAP gross margin set another record at 65.8%, and the Rule of 40 was crossed for the first time (43.8 on an adjusted-EBITDA basis) — precisely the milestone the June memo called “the single most important fundamental milestone for a re-rating.” The re-rating happened. The problem is now the price: $27.75 sits 18% ABOVE the bull-case DCF of $23.59 and more than double the base case of $13.37.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900"/>
        <w:gridCol w:w="1600"/>
        <w:gridCol w:w="1860"/>
      </w:tblGrid>
      <w:tr>
        <w:trPr>
          <w:tblHeader/>
        </w:trPr>
        <w:tc>
          <w:tcPr>
            <w:tcW w:type="dxa" w:w="12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Scenario</w:t>
            </w:r>
          </w:p>
        </w:tc>
        <w:tc>
          <w:tcPr>
            <w:tcW w:type="dxa" w:w="28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Key Drivers</w:t>
            </w:r>
          </w:p>
        </w:tc>
        <w:tc>
          <w:tcPr>
            <w:tcW w:type="dxa" w:w="19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Revenue × Multiple</w:t>
            </w:r>
          </w:p>
        </w:tc>
        <w:tc>
          <w:tcPr>
            <w:tcW w:type="dxa" w:w="16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Implied Price</w:t>
            </w:r>
          </w:p>
        </w:tc>
        <w:tc>
          <w:tcPr>
            <w:tcW w:type="dxa" w:w="1860"/>
            <w:shd w:fill="D9E2F3" w:val="clear"/>
            <w:tcMar>
              <w:top w:type="dxa" w:w="60"/>
              <w:left w:type="dxa" w:w="100"/>
              <w:bottom w:type="dxa" w:w="60"/>
              <w:right w:type="dxa" w:w="100"/>
            </w:tcMar>
          </w:tcPr>
          <w:p>
            <w:pPr>
              <w:jc w:val="left"/>
            </w:pPr>
            <w:r>
              <w:rPr>
                <w:rFonts w:ascii="Arial" w:cs="Arial" w:eastAsia="Arial" w:hAnsi="Arial"/>
                <w:b/>
                <w:bCs/>
                <w:sz w:val="20"/>
                <w:szCs w:val="20"/>
              </w:rPr>
              <w:t xml:space="preserve">vs. Current</w:t>
            </w:r>
          </w:p>
        </w:tc>
      </w:tr>
      <w:tr>
        <w:tc>
          <w:tcPr>
            <w:tcW w:type="dxa" w:w="1200"/>
            <w:shd w:fill="FFC7CE" w:val="clear"/>
            <w:tcMar>
              <w:top w:type="dxa" w:w="60"/>
              <w:left w:type="dxa" w:w="100"/>
              <w:bottom w:type="dxa" w:w="60"/>
              <w:right w:type="dxa" w:w="100"/>
            </w:tcMar>
          </w:tcPr>
          <w:p>
            <w:pPr>
              <w:jc w:val="left"/>
            </w:pPr>
            <w:r>
              <w:rPr>
                <w:rFonts w:ascii="Arial" w:cs="Arial" w:eastAsia="Arial" w:hAnsi="Arial"/>
                <w:b/>
                <w:bCs/>
                <w:sz w:val="20"/>
                <w:szCs w:val="20"/>
              </w:rPr>
              <w:t xml:space="preserve">🐻 Bear Case</w:t>
            </w:r>
          </w:p>
        </w:tc>
        <w:tc>
          <w:tcPr>
            <w:tcW w:type="dxa" w:w="2800"/>
            <w:shd w:fill="FFC7C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Security decelerates, commodity-CDN price pressure reasserts, a top-10 usage shock returns growth to single digits. Sequential RPO decline proves to be the tell.</w:t>
            </w:r>
          </w:p>
        </w:tc>
        <w:tc>
          <w:tcPr>
            <w:tcW w:type="dxa" w:w="1900"/>
            <w:shd w:fill="FFC7C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$805M FY27E × 3.0x ≈ $2.4B EV</w:t>
            </w:r>
          </w:p>
        </w:tc>
        <w:tc>
          <w:tcPr>
            <w:tcW w:type="dxa" w:w="1600"/>
            <w:shd w:fill="FFC7C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$13–14</w:t>
            </w:r>
          </w:p>
        </w:tc>
        <w:tc>
          <w:tcPr>
            <w:tcW w:type="dxa" w:w="1860"/>
            <w:shd w:fill="FFC7C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~51%</w:t>
            </w:r>
          </w:p>
        </w:tc>
      </w:tr>
      <w:tr>
        <w:tc>
          <w:tcPr>
            <w:tcW w:type="dxa" w:w="1200"/>
            <w:shd w:fill="FFEB9C" w:val="clear"/>
            <w:tcMar>
              <w:top w:type="dxa" w:w="60"/>
              <w:left w:type="dxa" w:w="100"/>
              <w:bottom w:type="dxa" w:w="60"/>
              <w:right w:type="dxa" w:w="100"/>
            </w:tcMar>
          </w:tcPr>
          <w:p>
            <w:pPr>
              <w:jc w:val="left"/>
            </w:pPr>
            <w:r>
              <w:rPr>
                <w:rFonts w:ascii="Arial" w:cs="Arial" w:eastAsia="Arial" w:hAnsi="Arial"/>
                <w:b/>
                <w:bCs/>
                <w:sz w:val="20"/>
                <w:szCs w:val="20"/>
              </w:rPr>
              <w:t xml:space="preserve">⚖️ Base Case</w:t>
            </w:r>
          </w:p>
        </w:tc>
        <w:tc>
          <w:tcPr>
            <w:tcW w:type="dxa" w:w="2800"/>
            <w:shd w:fill="FFEB9C"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Growth moderates to ~14% as H2 guidance conservatism proves roughly right; margins keep expanding but the multiple normalizes once squeeze fuel is spent.</w:t>
            </w:r>
          </w:p>
        </w:tc>
        <w:tc>
          <w:tcPr>
            <w:tcW w:type="dxa" w:w="1900"/>
            <w:shd w:fill="FFEB9C"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$842M FY27E × 4.5–5.0x ≈ $3.8–4.2B EV</w:t>
            </w:r>
          </w:p>
        </w:tc>
        <w:tc>
          <w:tcPr>
            <w:tcW w:type="dxa" w:w="1600"/>
            <w:shd w:fill="FFEB9C"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$21–23</w:t>
            </w:r>
          </w:p>
        </w:tc>
        <w:tc>
          <w:tcPr>
            <w:tcW w:type="dxa" w:w="1860"/>
            <w:shd w:fill="FFEB9C"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~15–24%</w:t>
            </w:r>
          </w:p>
        </w:tc>
      </w:tr>
      <w:tr>
        <w:tc>
          <w:tcPr>
            <w:tcW w:type="dxa" w:w="1200"/>
            <w:shd w:fill="C6EFCE" w:val="clear"/>
            <w:tcMar>
              <w:top w:type="dxa" w:w="60"/>
              <w:left w:type="dxa" w:w="100"/>
              <w:bottom w:type="dxa" w:w="60"/>
              <w:right w:type="dxa" w:w="100"/>
            </w:tcMar>
          </w:tcPr>
          <w:p>
            <w:pPr>
              <w:jc w:val="left"/>
            </w:pPr>
            <w:r>
              <w:rPr>
                <w:rFonts w:ascii="Arial" w:cs="Arial" w:eastAsia="Arial" w:hAnsi="Arial"/>
                <w:b/>
                <w:bCs/>
                <w:sz w:val="20"/>
                <w:szCs w:val="20"/>
              </w:rPr>
              <w:t xml:space="preserve">🐂 Bull Case</w:t>
            </w:r>
          </w:p>
        </w:tc>
        <w:tc>
          <w:tcPr>
            <w:tcW w:type="dxa" w:w="2800"/>
            <w:shd w:fill="C6EFC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 growth proves durable, Rule of 40 holds, Security/Compute mix keeps lifting margins, and the market sustains a premium-infrastructure multiple.</w:t>
            </w:r>
          </w:p>
        </w:tc>
        <w:tc>
          <w:tcPr>
            <w:tcW w:type="dxa" w:w="1900"/>
            <w:shd w:fill="C6EFC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$887M FY27E × 7.0x ≈ $6.2B EV</w:t>
            </w:r>
          </w:p>
        </w:tc>
        <w:tc>
          <w:tcPr>
            <w:tcW w:type="dxa" w:w="1600"/>
            <w:shd w:fill="C6EFC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$34–35</w:t>
            </w:r>
          </w:p>
        </w:tc>
        <w:tc>
          <w:tcPr>
            <w:tcW w:type="dxa" w:w="1860"/>
            <w:shd w:fill="C6EFC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~24%</w:t>
            </w:r>
          </w:p>
        </w:tc>
      </w:tr>
    </w:tbl>
    <w:p>
      <w:pPr>
        <w:spacing w:after="160" w:before="100"/>
      </w:pPr>
      <w:r>
        <w:rPr>
          <w:rFonts w:ascii="Arial" w:cs="Arial" w:eastAsia="Arial" w:hAnsi="Arial"/>
          <w:i/>
          <w:iCs/>
          <w:sz w:val="20"/>
          <w:szCs w:val="20"/>
        </w:rPr>
        <w:t xml:space="preserve">Revenue multiple approach reflects market pricing behavior. DCF intrinsic value analysis (bull $23.59 / base $13.37 / bear $6.93) is in Section 6.</w:t>
      </w:r>
    </w:p>
    <w:p>
      <w:pPr>
        <w:spacing w:after="160"/>
      </w:pPr>
      <w:r>
        <w:rPr>
          <w:rFonts w:ascii="Arial" w:cs="Arial" w:eastAsia="Arial" w:hAnsi="Arial"/>
          <w:b/>
          <w:bCs/>
          <w:sz w:val="24"/>
          <w:szCs w:val="24"/>
        </w:rPr>
        <w:t xml:space="preserve">Verdict: </w:t>
      </w:r>
      <w:r>
        <w:rPr>
          <w:rFonts w:ascii="Arial" w:cs="Arial" w:eastAsia="Arial" w:hAnsi="Arial"/>
          <w:sz w:val="24"/>
          <w:szCs w:val="24"/>
        </w:rPr>
        <w:t xml:space="preserve">HOLD — trim into strength. The inflection thesis played out faster than expected, but a 21% squeeze-assisted gap (18% short float) has pushed the quote past our most optimistic intrinsic path. Hold a core position, take partial profits into the $32–35 supply zone, harvest elevated IV with covered calls, and rebuild only on a substantial pullback.</w:t>
      </w:r>
    </w:p>
    <w:p>
      <w:pPr>
        <w:pStyle w:val="Heading1"/>
        <w:pageBreakBefore/>
        <w:spacing w:after="200" w:before="240"/>
      </w:pPr>
      <w:r>
        <w:rPr>
          <w:rFonts w:ascii="Arial" w:cs="Arial" w:eastAsia="Arial" w:hAnsi="Arial"/>
          <w:b/>
          <w:bCs/>
          <w:color w:val="1F4E79"/>
          <w:sz w:val="28"/>
          <w:szCs w:val="28"/>
        </w:rPr>
        <w:t xml:space="preserve">2. Business Snapshot</w:t>
      </w:r>
    </w:p>
    <w:p>
      <w:pPr>
        <w:spacing w:after="160"/>
      </w:pPr>
      <w:r>
        <w:rPr>
          <w:rFonts w:ascii="Arial" w:cs="Arial" w:eastAsia="Arial" w:hAnsi="Arial"/>
          <w:sz w:val="24"/>
          <w:szCs w:val="24"/>
        </w:rPr>
        <w:t xml:space="preserve">Fastly operates a global edge cloud platform — content delivery, edge compute, and a fast-growing security suite (Next-Gen WAF, Bot Management, API Security) — differentiated by a software-programmable edge favored by performance-sensitive enterprises. After inflecting in late 2025, the model is now compounding: four consecutive quarters of accelerating growth, record gross margins, and a first-ever Rule of 40 cross in Q2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Current Price</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$27.75 (Aug 10, 2026 close)</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Market Cap / Enterprise Value</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~$4.42B / ~$4.41B</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52-Week Range</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$6.70 – $34.82</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Q2 2026 Revenue</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$183.3M (+23% YoY) — Network $133.9M +17%, Security $41.7M +43%, Other $7.7M +69%</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Non-GAAP Gross Margin</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65.8% (record; 59.0% PY)</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Non-GAAP Operating Margin</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14.7% ($27.0M)  |  Adj. EBITDA margin 20.8% ($38.1M)</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FCF Margin</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 ($3.6M — capex-heavy quarter; OCF $39.3M, capex $35.8M)</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Net Cash</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$13.5M ($337.5M cash &amp; securities − $324.0M converts)</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Diluted Shares</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180.3M</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Rule of 40 Score</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43.8 (growth 23% + adj. EBITDA margin 20.8%) — first cross</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FY2026 Guided Revenue</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$732–746M (+18.4% at midpoint; raised Aug 5)</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FY2026 Guided Non-GAAP Op Income</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$88–96M (12.4% margin at midpoint; raised from $58–68M)</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Total RPO</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$341M (+38% YoY; down sequentially from $369M — watch item)</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LTM Net Retention Rate</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117% — highest in 3+ years (Q1: 113%)</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Top-10 Customer Concentration</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37% of revenue (vs. 31% PY)</w:t>
            </w:r>
          </w:p>
        </w:tc>
      </w:tr>
    </w:tbl>
    <w:p>
      <w:pPr>
        <w:pStyle w:val="Heading1"/>
        <w:pageBreakBefore/>
        <w:spacing w:after="200" w:before="240"/>
      </w:pPr>
      <w:r>
        <w:rPr>
          <w:rFonts w:ascii="Arial" w:cs="Arial" w:eastAsia="Arial" w:hAnsi="Arial"/>
          <w:b/>
          <w:bCs/>
          <w:color w:val="1F4E79"/>
          <w:sz w:val="28"/>
          <w:szCs w:val="28"/>
        </w:rPr>
        <w:t xml:space="preserve">What Changed Since June 8 (Retrospective Signal Check)</w:t>
      </w:r>
    </w:p>
    <w:p>
      <w:pPr>
        <w:spacing w:after="160"/>
      </w:pPr>
      <w:r>
        <w:rPr>
          <w:rFonts w:ascii="Arial" w:cs="Arial" w:eastAsia="Arial" w:hAnsi="Arial"/>
          <w:b/>
          <w:bCs/>
          <w:sz w:val="24"/>
          <w:szCs w:val="24"/>
        </w:rPr>
        <w:t xml:space="preserve">Trigger. </w:t>
      </w:r>
      <w:r>
        <w:rPr>
          <w:rFonts w:ascii="Arial" w:cs="Arial" w:eastAsia="Arial" w:hAnsi="Arial"/>
          <w:sz w:val="24"/>
          <w:szCs w:val="24"/>
        </w:rPr>
        <w:t xml:space="preserve">FY2026 non-GAAP operating income guidance was raised from $58–68M to $88–96M — a +370bps margin revision at the midpoint, well past the ±200bps material-change threshold. (The revenue raise, +3.0% at midpoint, was below the ±5% threshold on its own.) The stock responded with a +20.9% day on August 10, closing 38% above the June 8 analysis price of $20.09.</w:t>
      </w:r>
    </w:p>
    <w:p>
      <w:pPr>
        <w:spacing w:after="160"/>
      </w:pPr>
      <w:r>
        <w:rPr>
          <w:rFonts w:ascii="Arial" w:cs="Arial" w:eastAsia="Arial" w:hAnsi="Arial"/>
          <w:b/>
          <w:bCs/>
          <w:sz w:val="24"/>
          <w:szCs w:val="24"/>
        </w:rPr>
        <w:t xml:space="preserve">What actually changed. </w:t>
      </w:r>
      <w:r>
        <w:rPr>
          <w:rFonts w:ascii="Arial" w:cs="Arial" w:eastAsia="Arial" w:hAnsi="Arial"/>
          <w:sz w:val="24"/>
          <w:szCs w:val="24"/>
        </w:rPr>
        <w:t xml:space="preserve">Three things: the Rule of 40 crossed (43.8 EBITDA-basis vs. 37.0 in Q1), the margin guide re-based materially higher — with the new CFO explicitly noting Fastly's CPU-based (not GPU-based) infrastructure supports structurally strong gross margins — and market mechanics amplified the move: 18.1% of the float was short into the print. Fastly also filed a universal shelf registration into the rally and RPO declined sequentially ($369M → $341M), both worth watching.</w:t>
      </w:r>
    </w:p>
    <w:p>
      <w:pPr>
        <w:spacing w:after="160"/>
      </w:pPr>
      <w:r>
        <w:rPr>
          <w:rFonts w:ascii="Arial" w:cs="Arial" w:eastAsia="Arial" w:hAnsi="Arial"/>
          <w:b/>
          <w:bCs/>
          <w:sz w:val="24"/>
          <w:szCs w:val="24"/>
        </w:rPr>
        <w:t xml:space="preserve">Could we have seen it coming? </w:t>
      </w:r>
      <w:r>
        <w:rPr>
          <w:rFonts w:ascii="Arial" w:cs="Arial" w:eastAsia="Arial" w:hAnsi="Arial"/>
          <w:sz w:val="24"/>
          <w:szCs w:val="24"/>
        </w:rPr>
        <w:t xml:space="preserve">Directionally, yes — the June memo explicitly predicted a re-rating on a Rule of 40 cross and identified the leading indicators (RPO +63%, NRR climbing, Security compounding at 47%). The process miss was the accumulation zone: $13–17 was anchored to the base-case DCF, and the market never offered it — the stock bottomed near $18–19 (200-day SMA) between the analyses. For inflecting names where leading indicators are confirming the bull path, a purely intrinsic-value accumulation zone can be unreachable; staged adds at technical support deserve a place in the plan. Logged to _Analysis_Patterns as a candidate pattern (Rule-of-40 crossing re-rate).</w:t>
      </w:r>
    </w:p>
    <w:p>
      <w:pPr>
        <w:spacing w:after="160"/>
      </w:pPr>
      <w:r>
        <w:rPr>
          <w:rFonts w:ascii="Arial" w:cs="Arial" w:eastAsia="Arial" w:hAnsi="Arial"/>
          <w:b/>
          <w:bCs/>
          <w:sz w:val="24"/>
          <w:szCs w:val="24"/>
        </w:rPr>
        <w:t xml:space="preserve">Peer check. </w:t>
      </w:r>
      <w:r>
        <w:rPr>
          <w:rFonts w:ascii="Arial" w:cs="Arial" w:eastAsia="Arial" w:hAnsi="Arial"/>
          <w:sz w:val="24"/>
          <w:szCs w:val="24"/>
        </w:rPr>
        <w:t xml:space="preserve">Neither Akamai nor Cloudflare printed a comparable single-quarter inflection this cycle; this was company-specific execution plus squeeze mechanics, not a sector-wide CDN re-rating.</w:t>
      </w:r>
    </w:p>
    <w:p>
      <w:pPr>
        <w:pStyle w:val="Heading1"/>
        <w:pageBreakBefore/>
        <w:spacing w:after="200" w:before="240"/>
      </w:pPr>
      <w:r>
        <w:rPr>
          <w:rFonts w:ascii="Arial" w:cs="Arial" w:eastAsia="Arial" w:hAnsi="Arial"/>
          <w:b/>
          <w:bCs/>
          <w:color w:val="1F4E79"/>
          <w:sz w:val="28"/>
          <w:szCs w:val="28"/>
        </w:rPr>
        <w:t xml:space="preserve">3. Management &amp; Governance</w:t>
      </w:r>
    </w:p>
    <w:p>
      <w:pPr>
        <w:spacing w:after="160"/>
      </w:pPr>
      <w:r>
        <w:rPr>
          <w:rFonts w:ascii="Arial" w:cs="Arial" w:eastAsia="Arial" w:hAnsi="Arial"/>
          <w:sz w:val="24"/>
          <w:szCs w:val="24"/>
        </w:rPr>
        <w:t xml:space="preserve">Fastly is run by a nearly all-new team. CEO Kip Compton (hired June 2025, promoted from Chief Product Officer; previously SVP at Cisco) replaced Todd Nightingale; CFO Richard Wong (August 2025) was the first CFO at both Benchling and Houzz and a VP of Finance at LinkedIn. Scott Lovett was elevated to President of Go-to-Market, and the principal accounting officer role also turned over — meaning the entire finance and executive leadership is on roughly a one-year tenure.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CEO</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Kip Compton (hired, since June 2025; internal promotion from CPO; ex-Cisco SVP)</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CFO</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Richard Wong (since Aug 2025; ex-Benchling, Houzz first CFO; LinkedIn VP Finance)</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Insider Ownership</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6.21%</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Recent Insider Activity</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Net sells, all routine plan/tax-related; no open-market buys (last 12 mo)</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Institutional Ownership</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86.45%</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Notable</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Universal shelf registration filed Aug 2026 (financing flexibility / dilution overhang)</w:t>
            </w:r>
          </w:p>
        </w:tc>
      </w:tr>
    </w:tbl>
    <w:p>
      <w:pPr>
        <w:spacing w:after="80" w:before="120"/>
      </w:pPr>
      <w:r>
        <w:rPr>
          <w:rFonts w:ascii="Arial" w:cs="Arial" w:eastAsia="Arial" w:hAnsi="Arial"/>
          <w:sz w:val="24"/>
          <w:szCs w:val="24"/>
        </w:rPr>
        <w:t xml:space="preserve">Scored rubric (0/5/10 per criterion; evidence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Criterion</w:t>
            </w:r>
          </w:p>
        </w:tc>
        <w:tc>
          <w:tcPr>
            <w:tcW w:type="dxa" w:w="12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Score</w:t>
            </w:r>
          </w:p>
        </w:tc>
        <w:tc>
          <w:tcPr>
            <w:tcW w:type="dxa" w:w="4960"/>
            <w:shd w:fill="D9E2F3" w:val="clear"/>
            <w:tcMar>
              <w:top w:type="dxa" w:w="60"/>
              <w:left w:type="dxa" w:w="100"/>
              <w:bottom w:type="dxa" w:w="60"/>
              <w:right w:type="dxa" w:w="100"/>
            </w:tcMar>
          </w:tcPr>
          <w:p>
            <w:pPr>
              <w:jc w:val="left"/>
            </w:pPr>
            <w:r>
              <w:rPr>
                <w:rFonts w:ascii="Arial" w:cs="Arial" w:eastAsia="Arial" w:hAnsi="Arial"/>
                <w:b/>
                <w:bCs/>
                <w:sz w:val="20"/>
                <w:szCs w:val="20"/>
              </w:rPr>
              <w:t xml:space="preserve">Evidence</w:t>
            </w:r>
          </w:p>
        </w:tc>
      </w:tr>
      <w:tr>
        <w:tc>
          <w:tcPr>
            <w:tcW w:type="dxa" w:w="3200"/>
            <w:tcMar>
              <w:top w:type="dxa" w:w="60"/>
              <w:left w:type="dxa" w:w="100"/>
              <w:bottom w:type="dxa" w:w="60"/>
              <w:right w:type="dxa" w:w="100"/>
            </w:tcMar>
          </w:tcPr>
          <w:p>
            <w:pPr>
              <w:jc w:val="left"/>
            </w:pPr>
            <w:r>
              <w:rPr>
                <w:rFonts w:ascii="Arial" w:cs="Arial" w:eastAsia="Arial" w:hAnsi="Arial"/>
                <w:b/>
                <w:bCs/>
                <w:sz w:val="20"/>
                <w:szCs w:val="20"/>
              </w:rPr>
              <w:t xml:space="preserve">Execution track record</w:t>
            </w:r>
          </w:p>
        </w:tc>
        <w:tc>
          <w:tcPr>
            <w:tcW w:type="dxa" w:w="1200"/>
            <w:tcMar>
              <w:top w:type="dxa" w:w="60"/>
              <w:left w:type="dxa" w:w="100"/>
              <w:bottom w:type="dxa" w:w="60"/>
              <w:right w:type="dxa" w:w="100"/>
            </w:tcMar>
          </w:tcPr>
          <w:p>
            <w:pPr>
              <w:jc w:val="left"/>
            </w:pPr>
            <w:r>
              <w:rPr>
                <w:rFonts w:ascii="Arial" w:cs="Arial" w:eastAsia="Arial" w:hAnsi="Arial"/>
                <w:b w:val="false"/>
                <w:bCs w:val="false"/>
                <w:sz w:val="20"/>
                <w:szCs w:val="20"/>
              </w:rPr>
              <w:t xml:space="preserve">10/10</w:t>
            </w:r>
          </w:p>
        </w:tc>
        <w:tc>
          <w:tcPr>
            <w:tcW w:type="dxa" w:w="4960"/>
            <w:tcMar>
              <w:top w:type="dxa" w:w="60"/>
              <w:left w:type="dxa" w:w="100"/>
              <w:bottom w:type="dxa" w:w="60"/>
              <w:right w:type="dxa" w:w="100"/>
            </w:tcMar>
          </w:tcPr>
          <w:p>
            <w:pPr>
              <w:jc w:val="left"/>
            </w:pPr>
            <w:r>
              <w:rPr>
                <w:rFonts w:ascii="Arial" w:cs="Arial" w:eastAsia="Arial" w:hAnsi="Arial"/>
                <w:b w:val="false"/>
                <w:bCs w:val="false"/>
                <w:sz w:val="20"/>
                <w:szCs w:val="20"/>
              </w:rPr>
              <w:t xml:space="preserve">Two consecutive beat-and-raise quarters under the new team; FY26 non-GAAP op income guidance raised 46% at midpoint ($63M → $92M) on Aug 5, 2026.</w:t>
            </w:r>
          </w:p>
        </w:tc>
      </w:tr>
      <w:tr>
        <w:tc>
          <w:tcPr>
            <w:tcW w:type="dxa" w:w="3200"/>
            <w:tcMar>
              <w:top w:type="dxa" w:w="60"/>
              <w:left w:type="dxa" w:w="100"/>
              <w:bottom w:type="dxa" w:w="60"/>
              <w:right w:type="dxa" w:w="100"/>
            </w:tcMar>
          </w:tcPr>
          <w:p>
            <w:pPr>
              <w:jc w:val="left"/>
            </w:pPr>
            <w:r>
              <w:rPr>
                <w:rFonts w:ascii="Arial" w:cs="Arial" w:eastAsia="Arial" w:hAnsi="Arial"/>
                <w:b/>
                <w:bCs/>
                <w:sz w:val="20"/>
                <w:szCs w:val="20"/>
              </w:rPr>
              <w:t xml:space="preserve">Founder / tenure / skin in game</w:t>
            </w:r>
          </w:p>
        </w:tc>
        <w:tc>
          <w:tcPr>
            <w:tcW w:type="dxa" w:w="1200"/>
            <w:tcMar>
              <w:top w:type="dxa" w:w="60"/>
              <w:left w:type="dxa" w:w="100"/>
              <w:bottom w:type="dxa" w:w="60"/>
              <w:right w:type="dxa" w:w="100"/>
            </w:tcMar>
          </w:tcPr>
          <w:p>
            <w:pPr>
              <w:jc w:val="left"/>
            </w:pPr>
            <w:r>
              <w:rPr>
                <w:rFonts w:ascii="Arial" w:cs="Arial" w:eastAsia="Arial" w:hAnsi="Arial"/>
                <w:b w:val="false"/>
                <w:bCs w:val="false"/>
                <w:sz w:val="20"/>
                <w:szCs w:val="20"/>
              </w:rPr>
              <w:t xml:space="preserve">5/10</w:t>
            </w:r>
          </w:p>
        </w:tc>
        <w:tc>
          <w:tcPr>
            <w:tcW w:type="dxa" w:w="4960"/>
            <w:tcMar>
              <w:top w:type="dxa" w:w="60"/>
              <w:left w:type="dxa" w:w="100"/>
              <w:bottom w:type="dxa" w:w="60"/>
              <w:right w:type="dxa" w:w="100"/>
            </w:tcMar>
          </w:tcPr>
          <w:p>
            <w:pPr>
              <w:jc w:val="left"/>
            </w:pPr>
            <w:r>
              <w:rPr>
                <w:rFonts w:ascii="Arial" w:cs="Arial" w:eastAsia="Arial" w:hAnsi="Arial"/>
                <w:b w:val="false"/>
                <w:bCs w:val="false"/>
                <w:sz w:val="20"/>
                <w:szCs w:val="20"/>
              </w:rPr>
              <w:t xml:space="preserve">Hired CEO with 14-month tenure; founder no longer in an executive seat; insider ownership 6.21% (modest).</w:t>
            </w:r>
          </w:p>
        </w:tc>
      </w:tr>
      <w:tr>
        <w:tc>
          <w:tcPr>
            <w:tcW w:type="dxa" w:w="3200"/>
            <w:tcMar>
              <w:top w:type="dxa" w:w="60"/>
              <w:left w:type="dxa" w:w="100"/>
              <w:bottom w:type="dxa" w:w="60"/>
              <w:right w:type="dxa" w:w="100"/>
            </w:tcMar>
          </w:tcPr>
          <w:p>
            <w:pPr>
              <w:jc w:val="left"/>
            </w:pPr>
            <w:r>
              <w:rPr>
                <w:rFonts w:ascii="Arial" w:cs="Arial" w:eastAsia="Arial" w:hAnsi="Arial"/>
                <w:b/>
                <w:bCs/>
                <w:sz w:val="20"/>
                <w:szCs w:val="20"/>
              </w:rPr>
              <w:t xml:space="preserve">Capital allocation</w:t>
            </w:r>
          </w:p>
        </w:tc>
        <w:tc>
          <w:tcPr>
            <w:tcW w:type="dxa" w:w="1200"/>
            <w:tcMar>
              <w:top w:type="dxa" w:w="60"/>
              <w:left w:type="dxa" w:w="100"/>
              <w:bottom w:type="dxa" w:w="60"/>
              <w:right w:type="dxa" w:w="100"/>
            </w:tcMar>
          </w:tcPr>
          <w:p>
            <w:pPr>
              <w:jc w:val="left"/>
            </w:pPr>
            <w:r>
              <w:rPr>
                <w:rFonts w:ascii="Arial" w:cs="Arial" w:eastAsia="Arial" w:hAnsi="Arial"/>
                <w:b w:val="false"/>
                <w:bCs w:val="false"/>
                <w:sz w:val="20"/>
                <w:szCs w:val="20"/>
              </w:rPr>
              <w:t xml:space="preserve">5/10</w:t>
            </w:r>
          </w:p>
        </w:tc>
        <w:tc>
          <w:tcPr>
            <w:tcW w:type="dxa" w:w="4960"/>
            <w:tcMar>
              <w:top w:type="dxa" w:w="60"/>
              <w:left w:type="dxa" w:w="100"/>
              <w:bottom w:type="dxa" w:w="60"/>
              <w:right w:type="dxa" w:w="100"/>
            </w:tcMar>
          </w:tcPr>
          <w:p>
            <w:pPr>
              <w:jc w:val="left"/>
            </w:pPr>
            <w:r>
              <w:rPr>
                <w:rFonts w:ascii="Arial" w:cs="Arial" w:eastAsia="Arial" w:hAnsi="Arial"/>
                <w:b w:val="false"/>
                <w:bCs w:val="false"/>
                <w:sz w:val="20"/>
                <w:szCs w:val="20"/>
              </w:rPr>
              <w:t xml:space="preserve">Converts managed without crisis and no dilutive M&amp;A, but diluted share count reached 180.3M and a new universal shelf registration was filed into the Aug 10 rally.</w:t>
            </w:r>
          </w:p>
        </w:tc>
      </w:tr>
      <w:tr>
        <w:tc>
          <w:tcPr>
            <w:tcW w:type="dxa" w:w="3200"/>
            <w:tcMar>
              <w:top w:type="dxa" w:w="60"/>
              <w:left w:type="dxa" w:w="100"/>
              <w:bottom w:type="dxa" w:w="60"/>
              <w:right w:type="dxa" w:w="100"/>
            </w:tcMar>
          </w:tcPr>
          <w:p>
            <w:pPr>
              <w:jc w:val="left"/>
            </w:pPr>
            <w:r>
              <w:rPr>
                <w:rFonts w:ascii="Arial" w:cs="Arial" w:eastAsia="Arial" w:hAnsi="Arial"/>
                <w:b/>
                <w:bCs/>
                <w:sz w:val="20"/>
                <w:szCs w:val="20"/>
              </w:rPr>
              <w:t xml:space="preserve">Insider activity (Form 4)</w:t>
            </w:r>
          </w:p>
        </w:tc>
        <w:tc>
          <w:tcPr>
            <w:tcW w:type="dxa" w:w="1200"/>
            <w:tcMar>
              <w:top w:type="dxa" w:w="60"/>
              <w:left w:type="dxa" w:w="100"/>
              <w:bottom w:type="dxa" w:w="60"/>
              <w:right w:type="dxa" w:w="100"/>
            </w:tcMar>
          </w:tcPr>
          <w:p>
            <w:pPr>
              <w:jc w:val="left"/>
            </w:pPr>
            <w:r>
              <w:rPr>
                <w:rFonts w:ascii="Arial" w:cs="Arial" w:eastAsia="Arial" w:hAnsi="Arial"/>
                <w:b w:val="false"/>
                <w:bCs w:val="false"/>
                <w:sz w:val="20"/>
                <w:szCs w:val="20"/>
              </w:rPr>
              <w:t xml:space="preserve">5/10</w:t>
            </w:r>
          </w:p>
        </w:tc>
        <w:tc>
          <w:tcPr>
            <w:tcW w:type="dxa" w:w="4960"/>
            <w:tcMar>
              <w:top w:type="dxa" w:w="60"/>
              <w:left w:type="dxa" w:w="100"/>
              <w:bottom w:type="dxa" w:w="60"/>
              <w:right w:type="dxa" w:w="100"/>
            </w:tcMar>
          </w:tcPr>
          <w:p>
            <w:pPr>
              <w:jc w:val="left"/>
            </w:pPr>
            <w:r>
              <w:rPr>
                <w:rFonts w:ascii="Arial" w:cs="Arial" w:eastAsia="Arial" w:hAnsi="Arial"/>
                <w:b w:val="false"/>
                <w:bCs w:val="false"/>
                <w:sz w:val="20"/>
                <w:szCs w:val="20"/>
              </w:rPr>
              <w:t xml:space="preserve">Routine plan/tax-withholding sells only (CEO sold 14,868 shares Aug 2026; CTO tax sells; director 10b5-1 sale); zero open-market buys in the last 12 months.</w:t>
            </w:r>
          </w:p>
        </w:tc>
      </w:tr>
      <w:tr>
        <w:tc>
          <w:tcPr>
            <w:tcW w:type="dxa" w:w="3200"/>
            <w:tcMar>
              <w:top w:type="dxa" w:w="60"/>
              <w:left w:type="dxa" w:w="100"/>
              <w:bottom w:type="dxa" w:w="60"/>
              <w:right w:type="dxa" w:w="100"/>
            </w:tcMar>
          </w:tcPr>
          <w:p>
            <w:pPr>
              <w:jc w:val="left"/>
            </w:pPr>
            <w:r>
              <w:rPr>
                <w:rFonts w:ascii="Arial" w:cs="Arial" w:eastAsia="Arial" w:hAnsi="Arial"/>
                <w:b/>
                <w:bCs/>
                <w:sz w:val="20"/>
                <w:szCs w:val="20"/>
              </w:rPr>
              <w:t xml:space="preserve">Governance &amp; alignment</w:t>
            </w:r>
          </w:p>
        </w:tc>
        <w:tc>
          <w:tcPr>
            <w:tcW w:type="dxa" w:w="1200"/>
            <w:tcMar>
              <w:top w:type="dxa" w:w="60"/>
              <w:left w:type="dxa" w:w="100"/>
              <w:bottom w:type="dxa" w:w="60"/>
              <w:right w:type="dxa" w:w="100"/>
            </w:tcMar>
          </w:tcPr>
          <w:p>
            <w:pPr>
              <w:jc w:val="left"/>
            </w:pPr>
            <w:r>
              <w:rPr>
                <w:rFonts w:ascii="Arial" w:cs="Arial" w:eastAsia="Arial" w:hAnsi="Arial"/>
                <w:b w:val="false"/>
                <w:bCs w:val="false"/>
                <w:sz w:val="20"/>
                <w:szCs w:val="20"/>
              </w:rPr>
              <w:t xml:space="preserve">5/10</w:t>
            </w:r>
          </w:p>
        </w:tc>
        <w:tc>
          <w:tcPr>
            <w:tcW w:type="dxa" w:w="4960"/>
            <w:tcMar>
              <w:top w:type="dxa" w:w="60"/>
              <w:left w:type="dxa" w:w="100"/>
              <w:bottom w:type="dxa" w:w="60"/>
              <w:right w:type="dxa" w:w="100"/>
            </w:tcMar>
          </w:tcPr>
          <w:p>
            <w:pPr>
              <w:jc w:val="left"/>
            </w:pPr>
            <w:r>
              <w:rPr>
                <w:rFonts w:ascii="Arial" w:cs="Arial" w:eastAsia="Arial" w:hAnsi="Arial"/>
                <w:b w:val="false"/>
                <w:bCs w:val="false"/>
                <w:sz w:val="20"/>
                <w:szCs w:val="20"/>
              </w:rPr>
              <w:t xml:space="preserve">Orderly succession, but the CEO, CFO, and principal accounting officer all changed within ~14 months; institutional ownership 86%.</w:t>
            </w:r>
          </w:p>
        </w:tc>
      </w:tr>
      <w:tr>
        <w:tc>
          <w:tcPr>
            <w:tcW w:type="dxa" w:w="3200"/>
            <w:shd w:fill="FFEB9C" w:val="clear"/>
            <w:tcMar>
              <w:top w:type="dxa" w:w="60"/>
              <w:left w:type="dxa" w:w="100"/>
              <w:bottom w:type="dxa" w:w="60"/>
              <w:right w:type="dxa" w:w="100"/>
            </w:tcMar>
          </w:tcPr>
          <w:p>
            <w:pPr>
              <w:jc w:val="left"/>
            </w:pPr>
            <w:r>
              <w:rPr>
                <w:rFonts w:ascii="Arial" w:cs="Arial" w:eastAsia="Arial" w:hAnsi="Arial"/>
                <w:b/>
                <w:bCs/>
                <w:sz w:val="20"/>
                <w:szCs w:val="20"/>
              </w:rPr>
              <w:t xml:space="preserve">Composite</w:t>
            </w:r>
          </w:p>
        </w:tc>
        <w:tc>
          <w:tcPr>
            <w:tcW w:type="dxa" w:w="1200"/>
            <w:shd w:fill="FFEB9C" w:val="clear"/>
            <w:tcMar>
              <w:top w:type="dxa" w:w="60"/>
              <w:left w:type="dxa" w:w="100"/>
              <w:bottom w:type="dxa" w:w="60"/>
              <w:right w:type="dxa" w:w="100"/>
            </w:tcMar>
          </w:tcPr>
          <w:p>
            <w:pPr>
              <w:jc w:val="left"/>
            </w:pPr>
            <w:r>
              <w:rPr>
                <w:rFonts w:ascii="Arial" w:cs="Arial" w:eastAsia="Arial" w:hAnsi="Arial"/>
                <w:b/>
                <w:bCs/>
                <w:sz w:val="20"/>
                <w:szCs w:val="20"/>
              </w:rPr>
              <w:t xml:space="preserve">30/50</w:t>
            </w:r>
          </w:p>
        </w:tc>
        <w:tc>
          <w:tcPr>
            <w:tcW w:type="dxa" w:w="4960"/>
            <w:shd w:fill="FFEB9C" w:val="clear"/>
            <w:tcMar>
              <w:top w:type="dxa" w:w="60"/>
              <w:left w:type="dxa" w:w="100"/>
              <w:bottom w:type="dxa" w:w="60"/>
              <w:right w:type="dxa" w:w="100"/>
            </w:tcMar>
          </w:tcPr>
          <w:p>
            <w:pPr>
              <w:jc w:val="left"/>
            </w:pPr>
            <w:r>
              <w:rPr>
                <w:rFonts w:ascii="Arial" w:cs="Arial" w:eastAsia="Arial" w:hAnsi="Arial"/>
                <w:b/>
                <w:bCs/>
                <w:sz w:val="20"/>
                <w:szCs w:val="20"/>
              </w:rPr>
              <w:t xml:space="preserve">Neutral (25–39) — leadership is not a differentiator in either direction; execution is the standout, turnover and dilution the offsets.</w:t>
            </w:r>
          </w:p>
        </w:tc>
      </w:tr>
    </w:tbl>
    <w:p>
      <w:pPr>
        <w:spacing w:before="120"/>
      </w:pPr>
      <w:r>
        <w:rPr>
          <w:rFonts w:ascii="Arial" w:cs="Arial" w:eastAsia="Arial" w:hAnsi="Arial"/>
          <w:b/>
          <w:bCs/>
          <w:sz w:val="24"/>
          <w:szCs w:val="24"/>
        </w:rPr>
        <w:t xml:space="preserve">Read-through: </w:t>
      </w:r>
      <w:r>
        <w:rPr>
          <w:rFonts w:ascii="Arial" w:cs="Arial" w:eastAsia="Arial" w:hAnsi="Arial"/>
          <w:sz w:val="24"/>
          <w:szCs w:val="24"/>
        </w:rPr>
        <w:t xml:space="preserve">30/50 — Neutral. The new team's execution is the single best argument for the bull case: two beat-and-raise quarters and a 46% upward revision to the FY26 operating-income guide in 14 months. But nobody in the C-suite has meaningful skin in the game yet, insiders are only sellers (routine ones), and the shelf filed into the rally is a reminder that this management will take cheap capital when offered — at existing holders' expense. Leadership neither adds to nor subtracts from the thesis; the valuation does the talking.</w:t>
      </w:r>
    </w:p>
    <w:p>
      <w:pPr>
        <w:pStyle w:val="Heading1"/>
        <w:pageBreakBefore/>
        <w:spacing w:after="200" w:before="240"/>
      </w:pPr>
      <w:r>
        <w:rPr>
          <w:rFonts w:ascii="Arial" w:cs="Arial" w:eastAsia="Arial" w:hAnsi="Arial"/>
          <w:b/>
          <w:bCs/>
          <w:color w:val="1F4E79"/>
          <w:sz w:val="28"/>
          <w:szCs w:val="28"/>
        </w:rPr>
        <w:t xml:space="preserve">4. Bull Case</w:t>
      </w:r>
    </w:p>
    <w:p>
      <w:pPr>
        <w:spacing w:after="100" w:before="160"/>
      </w:pPr>
      <w:r>
        <w:rPr>
          <w:rFonts w:ascii="Arial" w:cs="Arial" w:eastAsia="Arial" w:hAnsi="Arial"/>
          <w:b/>
          <w:bCs/>
          <w:color w:val="1F4E79"/>
          <w:sz w:val="24"/>
          <w:szCs w:val="24"/>
        </w:rPr>
        <w:t xml:space="preserve">The Rule of 40 is crossed and the flywheel is compounding</w:t>
      </w:r>
    </w:p>
    <w:p>
      <w:pPr>
        <w:spacing w:after="160"/>
      </w:pPr>
      <w:r>
        <w:rPr>
          <w:rFonts w:ascii="Arial" w:cs="Arial" w:eastAsia="Arial" w:hAnsi="Arial"/>
          <w:sz w:val="24"/>
          <w:szCs w:val="24"/>
        </w:rPr>
        <w:t xml:space="preserve">Q2 posted 23% growth with a 20.8% adjusted-EBITDA margin — a 43.8 Rule of 40 score, the first above-40 print in company history, up from 27.2 in FY2025 and 37.0 in Q1. Four consecutive quarters of accelerating revenue growth (12% → record Q3 → 23% Q4 → 20% Q1 → 23% Q2) with record 65.8% non-GAAP gross margin is exactly what a durable platform inflection looks like.</w:t>
      </w:r>
    </w:p>
    <w:p>
      <w:pPr>
        <w:spacing w:after="100" w:before="160"/>
      </w:pPr>
      <w:r>
        <w:rPr>
          <w:rFonts w:ascii="Arial" w:cs="Arial" w:eastAsia="Arial" w:hAnsi="Arial"/>
          <w:b/>
          <w:bCs/>
          <w:color w:val="1F4E79"/>
          <w:sz w:val="24"/>
          <w:szCs w:val="24"/>
        </w:rPr>
        <w:t xml:space="preserve">Security and Compute are transforming the mix</w:t>
      </w:r>
    </w:p>
    <w:p>
      <w:pPr>
        <w:spacing w:after="160"/>
      </w:pPr>
      <w:r>
        <w:rPr>
          <w:rFonts w:ascii="Arial" w:cs="Arial" w:eastAsia="Arial" w:hAnsi="Arial"/>
          <w:sz w:val="24"/>
          <w:szCs w:val="24"/>
        </w:rPr>
        <w:t xml:space="preserve">Security grew 43% YoY to $41.7M (23% of revenue) and Other — Compute and Observability — grew 69%. These products are higher-margin, stickier, and less usage-volatile than CDN, and they are pulling the whole model upmarket: NRR of 117% is the highest in over three years, and RPO is up 38% YoY.</w:t>
      </w:r>
    </w:p>
    <w:p>
      <w:pPr>
        <w:spacing w:after="100" w:before="160"/>
      </w:pPr>
      <w:r>
        <w:rPr>
          <w:rFonts w:ascii="Arial" w:cs="Arial" w:eastAsia="Arial" w:hAnsi="Arial"/>
          <w:b/>
          <w:bCs/>
          <w:color w:val="1F4E79"/>
          <w:sz w:val="24"/>
          <w:szCs w:val="24"/>
        </w:rPr>
        <w:t xml:space="preserve">The margin guide re-based, and the cost structure is AI-capex-light</w:t>
      </w:r>
    </w:p>
    <w:p>
      <w:pPr>
        <w:spacing w:after="160"/>
      </w:pPr>
      <w:r>
        <w:rPr>
          <w:rFonts w:ascii="Arial" w:cs="Arial" w:eastAsia="Arial" w:hAnsi="Arial"/>
          <w:sz w:val="24"/>
          <w:szCs w:val="24"/>
        </w:rPr>
        <w:t xml:space="preserve">Management raised FY26 non-GAAP operating income guidance 46% at the midpoint ($63M → $92M) just six months into the year. CFO Richard Wong's point that Fastly's delivery and security run on CPUs — not GPUs — matters: Fastly gets AI-driven traffic demand (AI traffic management, bot monetization via Content Guard, the LALIGA anti-piracy win, a C++ SDK aimed at enterprise compute) without the GPU capex arms race crushing its free cash flow.</w:t>
      </w:r>
    </w:p>
    <w:p>
      <w:pPr>
        <w:spacing w:after="100" w:before="160"/>
      </w:pPr>
      <w:r>
        <w:rPr>
          <w:rFonts w:ascii="Arial" w:cs="Arial" w:eastAsia="Arial" w:hAnsi="Arial"/>
          <w:b/>
          <w:bCs/>
          <w:color w:val="1F4E79"/>
          <w:sz w:val="24"/>
          <w:szCs w:val="24"/>
        </w:rPr>
        <w:t xml:space="preserve">Squeeze mechanics can persist</w:t>
      </w:r>
    </w:p>
    <w:p>
      <w:pPr>
        <w:spacing w:after="160"/>
      </w:pPr>
      <w:r>
        <w:rPr>
          <w:rFonts w:ascii="Arial" w:cs="Arial" w:eastAsia="Arial" w:hAnsi="Arial"/>
          <w:sz w:val="24"/>
          <w:szCs w:val="24"/>
        </w:rPr>
        <w:t xml:space="preserve">Even after the pop, 18.1% of the float remains short. If Q3 delivers another beat-and-raise, the path to the $32–35 prior-high zone is short — covered-call strikes there are not fantasy.</w:t>
      </w:r>
    </w:p>
    <w:p>
      <w:pPr>
        <w:pStyle w:val="Heading1"/>
        <w:pageBreakBefore/>
        <w:spacing w:after="200" w:before="240"/>
      </w:pPr>
      <w:r>
        <w:rPr>
          <w:rFonts w:ascii="Arial" w:cs="Arial" w:eastAsia="Arial" w:hAnsi="Arial"/>
          <w:b/>
          <w:bCs/>
          <w:color w:val="1F4E79"/>
          <w:sz w:val="28"/>
          <w:szCs w:val="28"/>
        </w:rPr>
        <w:t xml:space="preserve">5. Bear Case</w:t>
      </w:r>
    </w:p>
    <w:p>
      <w:pPr>
        <w:spacing w:after="100" w:before="160"/>
      </w:pPr>
      <w:r>
        <w:rPr>
          <w:rFonts w:ascii="Arial" w:cs="Arial" w:eastAsia="Arial" w:hAnsi="Arial"/>
          <w:b/>
          <w:bCs/>
          <w:color w:val="1F4E79"/>
          <w:sz w:val="24"/>
          <w:szCs w:val="24"/>
        </w:rPr>
        <w:t xml:space="preserve">The price now exceeds the bull-case intrinsic value</w:t>
      </w:r>
    </w:p>
    <w:p>
      <w:pPr>
        <w:spacing w:after="160"/>
      </w:pPr>
      <w:r>
        <w:rPr>
          <w:rFonts w:ascii="Arial" w:cs="Arial" w:eastAsia="Arial" w:hAnsi="Arial"/>
          <w:sz w:val="24"/>
          <w:szCs w:val="24"/>
        </w:rPr>
        <w:t xml:space="preserve">At $27.75, the stock trades 18% above our bull-case DCF of $23.59 — a scenario that already assumes five years of 14–20% growth and a march to 27% terminal FCF margins at an 11% discount rate. The market is paying for more than our most optimistic modeled path; every incremental dollar of return from here requires either multiple expansion beyond 7x forward sales or assumptions we are not willing to underwrite.</w:t>
      </w:r>
    </w:p>
    <w:p>
      <w:pPr>
        <w:spacing w:after="100" w:before="160"/>
      </w:pPr>
      <w:r>
        <w:rPr>
          <w:rFonts w:ascii="Arial" w:cs="Arial" w:eastAsia="Arial" w:hAnsi="Arial"/>
          <w:b/>
          <w:bCs/>
          <w:color w:val="1F4E79"/>
          <w:sz w:val="24"/>
          <w:szCs w:val="24"/>
        </w:rPr>
        <w:t xml:space="preserve">The quarter had cracks the tape ignored</w:t>
      </w:r>
    </w:p>
    <w:p>
      <w:pPr>
        <w:spacing w:after="160"/>
      </w:pPr>
      <w:r>
        <w:rPr>
          <w:rFonts w:ascii="Arial" w:cs="Arial" w:eastAsia="Arial" w:hAnsi="Arial"/>
          <w:sz w:val="24"/>
          <w:szCs w:val="24"/>
        </w:rPr>
        <w:t xml:space="preserve">RPO declined sequentially, from $369M to $341M — bookings ran lighter than revenue burn in the quarter. Implied H2 guidance decelerates to ~16% growth from 23%. And free cash flow remains thin: $3.6M in Q2 and roughly $7.8M for H1, versus $45.8M in all of FY2025, as an elevated capex cycle absorbs the operating-income beat.</w:t>
      </w:r>
    </w:p>
    <w:p>
      <w:pPr>
        <w:spacing w:after="100" w:before="160"/>
      </w:pPr>
      <w:r>
        <w:rPr>
          <w:rFonts w:ascii="Arial" w:cs="Arial" w:eastAsia="Arial" w:hAnsi="Arial"/>
          <w:b/>
          <w:bCs/>
          <w:color w:val="1F4E79"/>
          <w:sz w:val="24"/>
          <w:szCs w:val="24"/>
        </w:rPr>
        <w:t xml:space="preserve">Concentration is rising in a usage-based model</w:t>
      </w:r>
    </w:p>
    <w:p>
      <w:pPr>
        <w:spacing w:after="160"/>
      </w:pPr>
      <w:r>
        <w:rPr>
          <w:rFonts w:ascii="Arial" w:cs="Arial" w:eastAsia="Arial" w:hAnsi="Arial"/>
          <w:sz w:val="24"/>
          <w:szCs w:val="24"/>
        </w:rPr>
        <w:t xml:space="preserve">Top-10 customers are now 37% of revenue, up from 31% a year ago. Fastly's 2021 guidance shock came from exactly this exposure — a single large customer's traffic shift. The re-acceleration narrative rests on a customer base that is getting more, not less, concentrated.</w:t>
      </w:r>
    </w:p>
    <w:p>
      <w:pPr>
        <w:spacing w:after="100" w:before="160"/>
      </w:pPr>
      <w:r>
        <w:rPr>
          <w:rFonts w:ascii="Arial" w:cs="Arial" w:eastAsia="Arial" w:hAnsi="Arial"/>
          <w:b/>
          <w:bCs/>
          <w:color w:val="1F4E79"/>
          <w:sz w:val="24"/>
          <w:szCs w:val="24"/>
        </w:rPr>
        <w:t xml:space="preserve">Dilution machinery is warming up</w:t>
      </w:r>
    </w:p>
    <w:p>
      <w:pPr>
        <w:spacing w:after="160"/>
      </w:pPr>
      <w:r>
        <w:rPr>
          <w:rFonts w:ascii="Arial" w:cs="Arial" w:eastAsia="Arial" w:hAnsi="Arial"/>
          <w:sz w:val="24"/>
          <w:szCs w:val="24"/>
        </w:rPr>
        <w:t xml:space="preserve">Diluted share count reached 180.3M (from 176.5M two quarters ago), and management filed a universal shelf registration into the August 10 rally. The $324M convert against $337.5M of cash leaves near-zero net cash — any large capital need gets funded with paper. Some of the +21% day was covering, not conviction: 25.5M shares were short, and RSI at 70 says the easy money has been made.</w:t>
      </w:r>
    </w:p>
    <w:p>
      <w:pPr>
        <w:pStyle w:val="Heading1"/>
        <w:pageBreakBefore/>
        <w:spacing w:after="200" w:before="240"/>
      </w:pPr>
      <w:r>
        <w:rPr>
          <w:rFonts w:ascii="Arial" w:cs="Arial" w:eastAsia="Arial" w:hAnsi="Arial"/>
          <w:b/>
          <w:bCs/>
          <w:color w:val="1F4E79"/>
          <w:sz w:val="28"/>
          <w:szCs w:val="28"/>
        </w:rPr>
        <w:t xml:space="preserve">6. DCF Valuation</w:t>
      </w:r>
    </w:p>
    <w:p>
      <w:pPr>
        <w:spacing w:after="160"/>
      </w:pPr>
      <w:r>
        <w:rPr>
          <w:rFonts w:ascii="Arial" w:cs="Arial" w:eastAsia="Arial" w:hAnsi="Arial"/>
          <w:sz w:val="24"/>
          <w:szCs w:val="24"/>
        </w:rPr>
        <w:t xml:space="preserve">Five-year free-cash-flow projection with a Gordon Growth terminal value, built from the raised FY2026 revenue guidance midpoint ($739M) as the Year-1 base, discounted at a single 11% WACC across all scenarios (per project methodology; only growth, margin ramp, and terminal growth differ). Versus June: base-case growth nudged up ~1pt/yr on NRR and RPO strength, terminal margins up 1pt on the margin guide, and diluted shares updated from 165M to 180.3M for dilution realism.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130"/>
        <w:gridCol w:w="2130"/>
        <w:gridCol w:w="2140"/>
      </w:tblGrid>
      <w:tr>
        <w:trPr>
          <w:tblHeader/>
        </w:trPr>
        <w:tc>
          <w:tcPr>
            <w:tcW w:type="dxa" w:w="2960"/>
            <w:shd w:fill="D9E2F3" w:val="clear"/>
            <w:tcMar>
              <w:top w:type="dxa" w:w="60"/>
              <w:left w:type="dxa" w:w="100"/>
              <w:bottom w:type="dxa" w:w="60"/>
              <w:right w:type="dxa" w:w="100"/>
            </w:tcMar>
          </w:tcPr>
          <w:p>
            <w:pPr>
              <w:jc w:val="left"/>
            </w:pPr>
            <w:r>
              <w:rPr>
                <w:rFonts w:ascii="Arial" w:cs="Arial" w:eastAsia="Arial" w:hAnsi="Arial"/>
                <w:b/>
                <w:bCs/>
                <w:sz w:val="20"/>
                <w:szCs w:val="20"/>
              </w:rPr>
              <w:t xml:space="preserve">Metric</w:t>
            </w:r>
          </w:p>
        </w:tc>
        <w:tc>
          <w:tcPr>
            <w:tcW w:type="dxa" w:w="2130"/>
            <w:shd w:fill="D9E2F3" w:val="clear"/>
            <w:tcMar>
              <w:top w:type="dxa" w:w="60"/>
              <w:left w:type="dxa" w:w="100"/>
              <w:bottom w:type="dxa" w:w="60"/>
              <w:right w:type="dxa" w:w="100"/>
            </w:tcMar>
          </w:tcPr>
          <w:p>
            <w:pPr>
              <w:jc w:val="left"/>
            </w:pPr>
            <w:r>
              <w:rPr>
                <w:rFonts w:ascii="Arial" w:cs="Arial" w:eastAsia="Arial" w:hAnsi="Arial"/>
                <w:b/>
                <w:bCs/>
                <w:sz w:val="20"/>
                <w:szCs w:val="20"/>
              </w:rPr>
              <w:t xml:space="preserve">Bull Case</w:t>
            </w:r>
          </w:p>
        </w:tc>
        <w:tc>
          <w:tcPr>
            <w:tcW w:type="dxa" w:w="2130"/>
            <w:shd w:fill="D9E2F3" w:val="clear"/>
            <w:tcMar>
              <w:top w:type="dxa" w:w="60"/>
              <w:left w:type="dxa" w:w="100"/>
              <w:bottom w:type="dxa" w:w="60"/>
              <w:right w:type="dxa" w:w="100"/>
            </w:tcMar>
          </w:tcPr>
          <w:p>
            <w:pPr>
              <w:jc w:val="left"/>
            </w:pPr>
            <w:r>
              <w:rPr>
                <w:rFonts w:ascii="Arial" w:cs="Arial" w:eastAsia="Arial" w:hAnsi="Arial"/>
                <w:b/>
                <w:bCs/>
                <w:sz w:val="20"/>
                <w:szCs w:val="20"/>
              </w:rPr>
              <w:t xml:space="preserve">Base Case</w:t>
            </w:r>
          </w:p>
        </w:tc>
        <w:tc>
          <w:tcPr>
            <w:tcW w:type="dxa" w:w="2140"/>
            <w:shd w:fill="D9E2F3" w:val="clear"/>
            <w:tcMar>
              <w:top w:type="dxa" w:w="60"/>
              <w:left w:type="dxa" w:w="100"/>
              <w:bottom w:type="dxa" w:w="60"/>
              <w:right w:type="dxa" w:w="100"/>
            </w:tcMar>
          </w:tcPr>
          <w:p>
            <w:pPr>
              <w:jc w:val="left"/>
            </w:pPr>
            <w:r>
              <w:rPr>
                <w:rFonts w:ascii="Arial" w:cs="Arial" w:eastAsia="Arial" w:hAnsi="Arial"/>
                <w:b/>
                <w:bCs/>
                <w:sz w:val="20"/>
                <w:szCs w:val="20"/>
              </w:rPr>
              <w:t xml:space="preserve">Bear Case</w:t>
            </w:r>
          </w:p>
        </w:tc>
      </w:tr>
      <w:tr>
        <w:tc>
          <w:tcPr>
            <w:tcW w:type="dxa" w:w="2960"/>
            <w:tcMar>
              <w:top w:type="dxa" w:w="60"/>
              <w:left w:type="dxa" w:w="100"/>
              <w:bottom w:type="dxa" w:w="60"/>
              <w:right w:type="dxa" w:w="100"/>
            </w:tcMar>
          </w:tcPr>
          <w:p>
            <w:pPr>
              <w:jc w:val="left"/>
            </w:pPr>
            <w:r>
              <w:rPr>
                <w:rFonts w:ascii="Arial" w:cs="Arial" w:eastAsia="Arial" w:hAnsi="Arial"/>
                <w:b/>
                <w:bCs/>
                <w:sz w:val="20"/>
                <w:szCs w:val="20"/>
              </w:rPr>
              <w:t xml:space="preserve">Discount Rate (single WACC)</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11%</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11%</w:t>
            </w:r>
          </w:p>
        </w:tc>
        <w:tc>
          <w:tcPr>
            <w:tcW w:type="dxa" w:w="2140"/>
            <w:tcMar>
              <w:top w:type="dxa" w:w="60"/>
              <w:left w:type="dxa" w:w="100"/>
              <w:bottom w:type="dxa" w:w="60"/>
              <w:right w:type="dxa" w:w="100"/>
            </w:tcMar>
          </w:tcPr>
          <w:p>
            <w:pPr>
              <w:jc w:val="left"/>
            </w:pPr>
            <w:r>
              <w:rPr>
                <w:rFonts w:ascii="Arial" w:cs="Arial" w:eastAsia="Arial" w:hAnsi="Arial"/>
                <w:b w:val="false"/>
                <w:bCs w:val="false"/>
                <w:sz w:val="20"/>
                <w:szCs w:val="20"/>
              </w:rPr>
              <w:t xml:space="preserve">11%</w:t>
            </w:r>
          </w:p>
        </w:tc>
      </w:tr>
      <w:tr>
        <w:tc>
          <w:tcPr>
            <w:tcW w:type="dxa" w:w="2960"/>
            <w:shd w:fill="F2F2F2" w:val="clear"/>
            <w:tcMar>
              <w:top w:type="dxa" w:w="60"/>
              <w:left w:type="dxa" w:w="100"/>
              <w:bottom w:type="dxa" w:w="60"/>
              <w:right w:type="dxa" w:w="100"/>
            </w:tcMar>
          </w:tcPr>
          <w:p>
            <w:pPr>
              <w:jc w:val="left"/>
            </w:pPr>
            <w:r>
              <w:rPr>
                <w:rFonts w:ascii="Arial" w:cs="Arial" w:eastAsia="Arial" w:hAnsi="Arial"/>
                <w:b/>
                <w:bCs/>
                <w:sz w:val="20"/>
                <w:szCs w:val="20"/>
              </w:rPr>
              <w:t xml:space="preserve">Terminal Growth</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4.5%</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3.5%</w:t>
            </w:r>
          </w:p>
        </w:tc>
        <w:tc>
          <w:tcPr>
            <w:tcW w:type="dxa" w:w="214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3.0%</w:t>
            </w:r>
          </w:p>
        </w:tc>
      </w:tr>
      <w:tr>
        <w:tc>
          <w:tcPr>
            <w:tcW w:type="dxa" w:w="2960"/>
            <w:tcMar>
              <w:top w:type="dxa" w:w="60"/>
              <w:left w:type="dxa" w:w="100"/>
              <w:bottom w:type="dxa" w:w="60"/>
              <w:right w:type="dxa" w:w="100"/>
            </w:tcMar>
          </w:tcPr>
          <w:p>
            <w:pPr>
              <w:jc w:val="left"/>
            </w:pPr>
            <w:r>
              <w:rPr>
                <w:rFonts w:ascii="Arial" w:cs="Arial" w:eastAsia="Arial" w:hAnsi="Arial"/>
                <w:b/>
                <w:bCs/>
                <w:sz w:val="20"/>
                <w:szCs w:val="20"/>
              </w:rPr>
              <w:t xml:space="preserve">Yr2 Revenue Growth</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20%</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14%</w:t>
            </w:r>
          </w:p>
        </w:tc>
        <w:tc>
          <w:tcPr>
            <w:tcW w:type="dxa" w:w="2140"/>
            <w:tcMar>
              <w:top w:type="dxa" w:w="60"/>
              <w:left w:type="dxa" w:w="100"/>
              <w:bottom w:type="dxa" w:w="60"/>
              <w:right w:type="dxa" w:w="100"/>
            </w:tcMar>
          </w:tcPr>
          <w:p>
            <w:pPr>
              <w:jc w:val="left"/>
            </w:pPr>
            <w:r>
              <w:rPr>
                <w:rFonts w:ascii="Arial" w:cs="Arial" w:eastAsia="Arial" w:hAnsi="Arial"/>
                <w:b w:val="false"/>
                <w:bCs w:val="false"/>
                <w:sz w:val="20"/>
                <w:szCs w:val="20"/>
              </w:rPr>
              <w:t xml:space="preserve">9%</w:t>
            </w:r>
          </w:p>
        </w:tc>
      </w:tr>
      <w:tr>
        <w:tc>
          <w:tcPr>
            <w:tcW w:type="dxa" w:w="2960"/>
            <w:shd w:fill="F2F2F2" w:val="clear"/>
            <w:tcMar>
              <w:top w:type="dxa" w:w="60"/>
              <w:left w:type="dxa" w:w="100"/>
              <w:bottom w:type="dxa" w:w="60"/>
              <w:right w:type="dxa" w:w="100"/>
            </w:tcMar>
          </w:tcPr>
          <w:p>
            <w:pPr>
              <w:jc w:val="left"/>
            </w:pPr>
            <w:r>
              <w:rPr>
                <w:rFonts w:ascii="Arial" w:cs="Arial" w:eastAsia="Arial" w:hAnsi="Arial"/>
                <w:b/>
                <w:bCs/>
                <w:sz w:val="20"/>
                <w:szCs w:val="20"/>
              </w:rPr>
              <w:t xml:space="preserve">Yr3 Revenue Growth</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18%</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13%</w:t>
            </w:r>
          </w:p>
        </w:tc>
        <w:tc>
          <w:tcPr>
            <w:tcW w:type="dxa" w:w="214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7%</w:t>
            </w:r>
          </w:p>
        </w:tc>
      </w:tr>
      <w:tr>
        <w:tc>
          <w:tcPr>
            <w:tcW w:type="dxa" w:w="2960"/>
            <w:tcMar>
              <w:top w:type="dxa" w:w="60"/>
              <w:left w:type="dxa" w:w="100"/>
              <w:bottom w:type="dxa" w:w="60"/>
              <w:right w:type="dxa" w:w="100"/>
            </w:tcMar>
          </w:tcPr>
          <w:p>
            <w:pPr>
              <w:jc w:val="left"/>
            </w:pPr>
            <w:r>
              <w:rPr>
                <w:rFonts w:ascii="Arial" w:cs="Arial" w:eastAsia="Arial" w:hAnsi="Arial"/>
                <w:b/>
                <w:bCs/>
                <w:sz w:val="20"/>
                <w:szCs w:val="20"/>
              </w:rPr>
              <w:t xml:space="preserve">Yr4 Revenue Growth</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16%</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12%</w:t>
            </w:r>
          </w:p>
        </w:tc>
        <w:tc>
          <w:tcPr>
            <w:tcW w:type="dxa" w:w="2140"/>
            <w:tcMar>
              <w:top w:type="dxa" w:w="60"/>
              <w:left w:type="dxa" w:w="100"/>
              <w:bottom w:type="dxa" w:w="60"/>
              <w:right w:type="dxa" w:w="100"/>
            </w:tcMar>
          </w:tcPr>
          <w:p>
            <w:pPr>
              <w:jc w:val="left"/>
            </w:pPr>
            <w:r>
              <w:rPr>
                <w:rFonts w:ascii="Arial" w:cs="Arial" w:eastAsia="Arial" w:hAnsi="Arial"/>
                <w:b w:val="false"/>
                <w:bCs w:val="false"/>
                <w:sz w:val="20"/>
                <w:szCs w:val="20"/>
              </w:rPr>
              <w:t xml:space="preserve">6%</w:t>
            </w:r>
          </w:p>
        </w:tc>
      </w:tr>
      <w:tr>
        <w:tc>
          <w:tcPr>
            <w:tcW w:type="dxa" w:w="2960"/>
            <w:shd w:fill="F2F2F2" w:val="clear"/>
            <w:tcMar>
              <w:top w:type="dxa" w:w="60"/>
              <w:left w:type="dxa" w:w="100"/>
              <w:bottom w:type="dxa" w:w="60"/>
              <w:right w:type="dxa" w:w="100"/>
            </w:tcMar>
          </w:tcPr>
          <w:p>
            <w:pPr>
              <w:jc w:val="left"/>
            </w:pPr>
            <w:r>
              <w:rPr>
                <w:rFonts w:ascii="Arial" w:cs="Arial" w:eastAsia="Arial" w:hAnsi="Arial"/>
                <w:b/>
                <w:bCs/>
                <w:sz w:val="20"/>
                <w:szCs w:val="20"/>
              </w:rPr>
              <w:t xml:space="preserve">Yr5 Revenue Growth</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14%</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11%</w:t>
            </w:r>
          </w:p>
        </w:tc>
        <w:tc>
          <w:tcPr>
            <w:tcW w:type="dxa" w:w="214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r>
      <w:tr>
        <w:tc>
          <w:tcPr>
            <w:tcW w:type="dxa" w:w="2960"/>
            <w:tcMar>
              <w:top w:type="dxa" w:w="60"/>
              <w:left w:type="dxa" w:w="100"/>
              <w:bottom w:type="dxa" w:w="60"/>
              <w:right w:type="dxa" w:w="100"/>
            </w:tcMar>
          </w:tcPr>
          <w:p>
            <w:pPr>
              <w:jc w:val="left"/>
            </w:pPr>
            <w:r>
              <w:rPr>
                <w:rFonts w:ascii="Arial" w:cs="Arial" w:eastAsia="Arial" w:hAnsi="Arial"/>
                <w:b/>
                <w:bCs/>
                <w:sz w:val="20"/>
                <w:szCs w:val="20"/>
              </w:rPr>
              <w:t xml:space="preserve">Terminal FCF Margin</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27%</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20%</w:t>
            </w:r>
          </w:p>
        </w:tc>
        <w:tc>
          <w:tcPr>
            <w:tcW w:type="dxa" w:w="2140"/>
            <w:tcMar>
              <w:top w:type="dxa" w:w="60"/>
              <w:left w:type="dxa" w:w="100"/>
              <w:bottom w:type="dxa" w:w="60"/>
              <w:right w:type="dxa" w:w="100"/>
            </w:tcMar>
          </w:tcPr>
          <w:p>
            <w:pPr>
              <w:jc w:val="left"/>
            </w:pPr>
            <w:r>
              <w:rPr>
                <w:rFonts w:ascii="Arial" w:cs="Arial" w:eastAsia="Arial" w:hAnsi="Arial"/>
                <w:b w:val="false"/>
                <w:bCs w:val="false"/>
                <w:sz w:val="20"/>
                <w:szCs w:val="20"/>
              </w:rPr>
              <w:t xml:space="preserve">13%</w:t>
            </w:r>
          </w:p>
        </w:tc>
      </w:tr>
      <w:tr>
        <w:tc>
          <w:tcPr>
            <w:tcW w:type="dxa" w:w="2960"/>
            <w:shd w:fill="F2F2F2" w:val="clear"/>
            <w:tcMar>
              <w:top w:type="dxa" w:w="60"/>
              <w:left w:type="dxa" w:w="100"/>
              <w:bottom w:type="dxa" w:w="60"/>
              <w:right w:type="dxa" w:w="100"/>
            </w:tcMar>
          </w:tcPr>
          <w:p>
            <w:pPr>
              <w:jc w:val="left"/>
            </w:pPr>
            <w:r>
              <w:rPr>
                <w:rFonts w:ascii="Arial" w:cs="Arial" w:eastAsia="Arial" w:hAnsi="Arial"/>
                <w:b/>
                <w:bCs/>
                <w:sz w:val="20"/>
                <w:szCs w:val="20"/>
              </w:rPr>
              <w:t xml:space="preserve">Implied EV</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$4.24B</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$2.40B</w:t>
            </w:r>
          </w:p>
        </w:tc>
        <w:tc>
          <w:tcPr>
            <w:tcW w:type="dxa" w:w="214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$1.24B</w:t>
            </w:r>
          </w:p>
        </w:tc>
      </w:tr>
      <w:tr>
        <w:tc>
          <w:tcPr>
            <w:tcW w:type="dxa" w:w="2960"/>
            <w:tcMar>
              <w:top w:type="dxa" w:w="60"/>
              <w:left w:type="dxa" w:w="100"/>
              <w:bottom w:type="dxa" w:w="60"/>
              <w:right w:type="dxa" w:w="100"/>
            </w:tcMar>
          </w:tcPr>
          <w:p>
            <w:pPr>
              <w:jc w:val="left"/>
            </w:pPr>
            <w:r>
              <w:rPr>
                <w:rFonts w:ascii="Arial" w:cs="Arial" w:eastAsia="Arial" w:hAnsi="Arial"/>
                <w:b/>
                <w:bCs/>
                <w:sz w:val="20"/>
                <w:szCs w:val="20"/>
              </w:rPr>
              <w:t xml:space="preserve">+ Net Cash</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$13.5M</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$13.5M</w:t>
            </w:r>
          </w:p>
        </w:tc>
        <w:tc>
          <w:tcPr>
            <w:tcW w:type="dxa" w:w="2140"/>
            <w:tcMar>
              <w:top w:type="dxa" w:w="60"/>
              <w:left w:type="dxa" w:w="100"/>
              <w:bottom w:type="dxa" w:w="60"/>
              <w:right w:type="dxa" w:w="100"/>
            </w:tcMar>
          </w:tcPr>
          <w:p>
            <w:pPr>
              <w:jc w:val="left"/>
            </w:pPr>
            <w:r>
              <w:rPr>
                <w:rFonts w:ascii="Arial" w:cs="Arial" w:eastAsia="Arial" w:hAnsi="Arial"/>
                <w:b w:val="false"/>
                <w:bCs w:val="false"/>
                <w:sz w:val="20"/>
                <w:szCs w:val="20"/>
              </w:rPr>
              <w:t xml:space="preserve">$13.5M</w:t>
            </w:r>
          </w:p>
        </w:tc>
      </w:tr>
      <w:tr>
        <w:tc>
          <w:tcPr>
            <w:tcW w:type="dxa" w:w="2960"/>
            <w:shd w:fill="F2F2F2" w:val="clear"/>
            <w:tcMar>
              <w:top w:type="dxa" w:w="60"/>
              <w:left w:type="dxa" w:w="100"/>
              <w:bottom w:type="dxa" w:w="60"/>
              <w:right w:type="dxa" w:w="100"/>
            </w:tcMar>
          </w:tcPr>
          <w:p>
            <w:pPr>
              <w:jc w:val="left"/>
            </w:pPr>
            <w:r>
              <w:rPr>
                <w:rFonts w:ascii="Arial" w:cs="Arial" w:eastAsia="Arial" w:hAnsi="Arial"/>
                <w:b/>
                <w:bCs/>
                <w:sz w:val="20"/>
                <w:szCs w:val="20"/>
              </w:rPr>
              <w:t xml:space="preserve">Equity Value</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$4.25B</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$2.41B</w:t>
            </w:r>
          </w:p>
        </w:tc>
        <w:tc>
          <w:tcPr>
            <w:tcW w:type="dxa" w:w="214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$1.25B</w:t>
            </w:r>
          </w:p>
        </w:tc>
      </w:tr>
      <w:tr>
        <w:tc>
          <w:tcPr>
            <w:tcW w:type="dxa" w:w="2960"/>
            <w:shd w:fill="FFEB9C" w:val="clear"/>
            <w:tcMar>
              <w:top w:type="dxa" w:w="60"/>
              <w:left w:type="dxa" w:w="100"/>
              <w:bottom w:type="dxa" w:w="60"/>
              <w:right w:type="dxa" w:w="100"/>
            </w:tcMar>
          </w:tcPr>
          <w:p>
            <w:pPr>
              <w:jc w:val="left"/>
            </w:pPr>
            <w:r>
              <w:rPr>
                <w:rFonts w:ascii="Arial" w:cs="Arial" w:eastAsia="Arial" w:hAnsi="Arial"/>
                <w:b/>
                <w:bCs/>
                <w:sz w:val="20"/>
                <w:szCs w:val="20"/>
              </w:rPr>
              <w:t xml:space="preserve">Intrinsic Price/Share</w:t>
            </w:r>
          </w:p>
        </w:tc>
        <w:tc>
          <w:tcPr>
            <w:tcW w:type="dxa" w:w="2130"/>
            <w:shd w:fill="FFEB9C" w:val="clear"/>
            <w:tcMar>
              <w:top w:type="dxa" w:w="60"/>
              <w:left w:type="dxa" w:w="100"/>
              <w:bottom w:type="dxa" w:w="60"/>
              <w:right w:type="dxa" w:w="100"/>
            </w:tcMar>
          </w:tcPr>
          <w:p>
            <w:pPr>
              <w:jc w:val="left"/>
            </w:pPr>
            <w:r>
              <w:rPr>
                <w:rFonts w:ascii="Arial" w:cs="Arial" w:eastAsia="Arial" w:hAnsi="Arial"/>
                <w:b/>
                <w:bCs/>
                <w:sz w:val="20"/>
                <w:szCs w:val="20"/>
              </w:rPr>
              <w:t xml:space="preserve">$23.59</w:t>
            </w:r>
          </w:p>
        </w:tc>
        <w:tc>
          <w:tcPr>
            <w:tcW w:type="dxa" w:w="2130"/>
            <w:shd w:fill="FFEB9C" w:val="clear"/>
            <w:tcMar>
              <w:top w:type="dxa" w:w="60"/>
              <w:left w:type="dxa" w:w="100"/>
              <w:bottom w:type="dxa" w:w="60"/>
              <w:right w:type="dxa" w:w="100"/>
            </w:tcMar>
          </w:tcPr>
          <w:p>
            <w:pPr>
              <w:jc w:val="left"/>
            </w:pPr>
            <w:r>
              <w:rPr>
                <w:rFonts w:ascii="Arial" w:cs="Arial" w:eastAsia="Arial" w:hAnsi="Arial"/>
                <w:b/>
                <w:bCs/>
                <w:sz w:val="20"/>
                <w:szCs w:val="20"/>
              </w:rPr>
              <w:t xml:space="preserve">$13.37</w:t>
            </w:r>
          </w:p>
        </w:tc>
        <w:tc>
          <w:tcPr>
            <w:tcW w:type="dxa" w:w="2140"/>
            <w:shd w:fill="FFEB9C" w:val="clear"/>
            <w:tcMar>
              <w:top w:type="dxa" w:w="60"/>
              <w:left w:type="dxa" w:w="100"/>
              <w:bottom w:type="dxa" w:w="60"/>
              <w:right w:type="dxa" w:w="100"/>
            </w:tcMar>
          </w:tcPr>
          <w:p>
            <w:pPr>
              <w:jc w:val="left"/>
            </w:pPr>
            <w:r>
              <w:rPr>
                <w:rFonts w:ascii="Arial" w:cs="Arial" w:eastAsia="Arial" w:hAnsi="Arial"/>
                <w:b/>
                <w:bCs/>
                <w:sz w:val="20"/>
                <w:szCs w:val="20"/>
              </w:rPr>
              <w:t xml:space="preserve">$6.93</w:t>
            </w:r>
          </w:p>
        </w:tc>
      </w:tr>
      <w:tr>
        <w:tc>
          <w:tcPr>
            <w:tcW w:type="dxa" w:w="2960"/>
            <w:shd w:fill="F2F2F2" w:val="clear"/>
            <w:tcMar>
              <w:top w:type="dxa" w:w="60"/>
              <w:left w:type="dxa" w:w="100"/>
              <w:bottom w:type="dxa" w:w="60"/>
              <w:right w:type="dxa" w:w="100"/>
            </w:tcMar>
          </w:tcPr>
          <w:p>
            <w:pPr>
              <w:jc w:val="left"/>
            </w:pPr>
            <w:r>
              <w:rPr>
                <w:rFonts w:ascii="Arial" w:cs="Arial" w:eastAsia="Arial" w:hAnsi="Arial"/>
                <w:b/>
                <w:bCs/>
                <w:sz w:val="20"/>
                <w:szCs w:val="20"/>
              </w:rPr>
              <w:t xml:space="preserve">Current Price</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$27.75</w:t>
            </w:r>
          </w:p>
        </w:tc>
        <w:tc>
          <w:tcPr>
            <w:tcW w:type="dxa" w:w="213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$27.75</w:t>
            </w:r>
          </w:p>
        </w:tc>
        <w:tc>
          <w:tcPr>
            <w:tcW w:type="dxa" w:w="214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$27.75</w:t>
            </w:r>
          </w:p>
        </w:tc>
      </w:tr>
      <w:tr>
        <w:tc>
          <w:tcPr>
            <w:tcW w:type="dxa" w:w="2960"/>
            <w:tcMar>
              <w:top w:type="dxa" w:w="60"/>
              <w:left w:type="dxa" w:w="100"/>
              <w:bottom w:type="dxa" w:w="60"/>
              <w:right w:type="dxa" w:w="100"/>
            </w:tcMar>
          </w:tcPr>
          <w:p>
            <w:pPr>
              <w:jc w:val="left"/>
            </w:pPr>
            <w:r>
              <w:rPr>
                <w:rFonts w:ascii="Arial" w:cs="Arial" w:eastAsia="Arial" w:hAnsi="Arial"/>
                <w:b/>
                <w:bCs/>
                <w:sz w:val="20"/>
                <w:szCs w:val="20"/>
              </w:rPr>
              <w:t xml:space="preserve">Premium/(Discount) to Intrinsic</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+18%</w:t>
            </w:r>
          </w:p>
        </w:tc>
        <w:tc>
          <w:tcPr>
            <w:tcW w:type="dxa" w:w="2130"/>
            <w:tcMar>
              <w:top w:type="dxa" w:w="60"/>
              <w:left w:type="dxa" w:w="100"/>
              <w:bottom w:type="dxa" w:w="60"/>
              <w:right w:type="dxa" w:w="100"/>
            </w:tcMar>
          </w:tcPr>
          <w:p>
            <w:pPr>
              <w:jc w:val="left"/>
            </w:pPr>
            <w:r>
              <w:rPr>
                <w:rFonts w:ascii="Arial" w:cs="Arial" w:eastAsia="Arial" w:hAnsi="Arial"/>
                <w:b w:val="false"/>
                <w:bCs w:val="false"/>
                <w:sz w:val="20"/>
                <w:szCs w:val="20"/>
              </w:rPr>
              <w:t xml:space="preserve">+108%</w:t>
            </w:r>
          </w:p>
        </w:tc>
        <w:tc>
          <w:tcPr>
            <w:tcW w:type="dxa" w:w="2140"/>
            <w:tcMar>
              <w:top w:type="dxa" w:w="60"/>
              <w:left w:type="dxa" w:w="100"/>
              <w:bottom w:type="dxa" w:w="60"/>
              <w:right w:type="dxa" w:w="100"/>
            </w:tcMar>
          </w:tcPr>
          <w:p>
            <w:pPr>
              <w:jc w:val="left"/>
            </w:pPr>
            <w:r>
              <w:rPr>
                <w:rFonts w:ascii="Arial" w:cs="Arial" w:eastAsia="Arial" w:hAnsi="Arial"/>
                <w:b w:val="false"/>
                <w:bCs w:val="false"/>
                <w:sz w:val="20"/>
                <w:szCs w:val="20"/>
              </w:rPr>
              <w:t xml:space="preserve">+300%</w:t>
            </w:r>
          </w:p>
        </w:tc>
      </w:tr>
    </w:tbl>
    <w:p>
      <w:pPr>
        <w:spacing w:before="120"/>
      </w:pPr>
      <w:r>
        <w:rPr>
          <w:rFonts w:ascii="Arial" w:cs="Arial" w:eastAsia="Arial" w:hAnsi="Arial"/>
          <w:b/>
          <w:bCs/>
          <w:sz w:val="24"/>
          <w:szCs w:val="24"/>
        </w:rPr>
        <w:t xml:space="preserve">Interpretation: </w:t>
      </w:r>
      <w:r>
        <w:rPr>
          <w:rFonts w:ascii="Arial" w:cs="Arial" w:eastAsia="Arial" w:hAnsi="Arial"/>
          <w:sz w:val="24"/>
          <w:szCs w:val="24"/>
        </w:rPr>
        <w:t xml:space="preserve">the current price exceeds the bull case by 18% — the market is pricing a scenario beyond our bull case, requiring 20%+ growth to persist beyond 2027 and FCF margins to clear 27%, or a durable premium multiple on top of full execution. In June the stock sat between base and bull; today it sits above bull. That is the entire investment decision: the fundamentals improved meaningfully, and the price improved faster than the fundamentals.</w:t>
      </w:r>
    </w:p>
    <w:p>
      <w:pPr>
        <w:pStyle w:val="Heading1"/>
        <w:pageBreakBefore/>
        <w:spacing w:after="200" w:before="240"/>
      </w:pPr>
      <w:r>
        <w:rPr>
          <w:rFonts w:ascii="Arial" w:cs="Arial" w:eastAsia="Arial" w:hAnsi="Arial"/>
          <w:b/>
          <w:bCs/>
          <w:color w:val="1F4E79"/>
          <w:sz w:val="28"/>
          <w:szCs w:val="28"/>
        </w:rPr>
        <w:t xml:space="preserve">7. Rule of 40 Analysis</w:t>
      </w:r>
    </w:p>
    <w:p>
      <w:pPr>
        <w:spacing w:after="160"/>
      </w:pPr>
      <w:r>
        <w:rPr>
          <w:rFonts w:ascii="Arial" w:cs="Arial" w:eastAsia="Arial" w:hAnsi="Arial"/>
          <w:sz w:val="24"/>
          <w:szCs w:val="24"/>
        </w:rPr>
        <w:t xml:space="preserve">Rule of 40 sums revenue growth and a profitability margin; above 40 is healthy for a software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820"/>
        <w:gridCol w:w="1820"/>
        <w:gridCol w:w="1820"/>
      </w:tblGrid>
      <w:tr>
        <w:trPr>
          <w:tblHeader/>
        </w:trPr>
        <w:tc>
          <w:tcPr>
            <w:tcW w:type="dxa" w:w="39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Period (adj. EBITDA basis)</w:t>
            </w:r>
          </w:p>
        </w:tc>
        <w:tc>
          <w:tcPr>
            <w:tcW w:type="dxa" w:w="1820"/>
            <w:shd w:fill="D9E2F3" w:val="clear"/>
            <w:tcMar>
              <w:top w:type="dxa" w:w="60"/>
              <w:left w:type="dxa" w:w="100"/>
              <w:bottom w:type="dxa" w:w="60"/>
              <w:right w:type="dxa" w:w="100"/>
            </w:tcMar>
          </w:tcPr>
          <w:p>
            <w:pPr>
              <w:jc w:val="left"/>
            </w:pPr>
            <w:r>
              <w:rPr>
                <w:rFonts w:ascii="Arial" w:cs="Arial" w:eastAsia="Arial" w:hAnsi="Arial"/>
                <w:b/>
                <w:bCs/>
                <w:sz w:val="20"/>
                <w:szCs w:val="20"/>
              </w:rPr>
              <w:t xml:space="preserve">Growth %</w:t>
            </w:r>
          </w:p>
        </w:tc>
        <w:tc>
          <w:tcPr>
            <w:tcW w:type="dxa" w:w="1820"/>
            <w:shd w:fill="D9E2F3" w:val="clear"/>
            <w:tcMar>
              <w:top w:type="dxa" w:w="60"/>
              <w:left w:type="dxa" w:w="100"/>
              <w:bottom w:type="dxa" w:w="60"/>
              <w:right w:type="dxa" w:w="100"/>
            </w:tcMar>
          </w:tcPr>
          <w:p>
            <w:pPr>
              <w:jc w:val="left"/>
            </w:pPr>
            <w:r>
              <w:rPr>
                <w:rFonts w:ascii="Arial" w:cs="Arial" w:eastAsia="Arial" w:hAnsi="Arial"/>
                <w:b/>
                <w:bCs/>
                <w:sz w:val="20"/>
                <w:szCs w:val="20"/>
              </w:rPr>
              <w:t xml:space="preserve">Margin %</w:t>
            </w:r>
          </w:p>
        </w:tc>
        <w:tc>
          <w:tcPr>
            <w:tcW w:type="dxa" w:w="1820"/>
            <w:shd w:fill="D9E2F3" w:val="clear"/>
            <w:tcMar>
              <w:top w:type="dxa" w:w="60"/>
              <w:left w:type="dxa" w:w="100"/>
              <w:bottom w:type="dxa" w:w="60"/>
              <w:right w:type="dxa" w:w="100"/>
            </w:tcMar>
          </w:tcPr>
          <w:p>
            <w:pPr>
              <w:jc w:val="left"/>
            </w:pPr>
            <w:r>
              <w:rPr>
                <w:rFonts w:ascii="Arial" w:cs="Arial" w:eastAsia="Arial" w:hAnsi="Arial"/>
                <w:b/>
                <w:bCs/>
                <w:sz w:val="20"/>
                <w:szCs w:val="20"/>
              </w:rPr>
              <w:t xml:space="preserve">Rule of 40</w:t>
            </w:r>
          </w:p>
        </w:tc>
      </w:tr>
      <w:tr>
        <w:tc>
          <w:tcPr>
            <w:tcW w:type="dxa" w:w="3900"/>
            <w:tcMar>
              <w:top w:type="dxa" w:w="60"/>
              <w:left w:type="dxa" w:w="100"/>
              <w:bottom w:type="dxa" w:w="60"/>
              <w:right w:type="dxa" w:w="100"/>
            </w:tcMar>
          </w:tcPr>
          <w:p>
            <w:pPr>
              <w:jc w:val="left"/>
            </w:pPr>
            <w:r>
              <w:rPr>
                <w:rFonts w:ascii="Arial" w:cs="Arial" w:eastAsia="Arial" w:hAnsi="Arial"/>
                <w:b w:val="false"/>
                <w:bCs w:val="false"/>
                <w:sz w:val="20"/>
                <w:szCs w:val="20"/>
              </w:rPr>
              <w:t xml:space="preserve">FY2025</w:t>
            </w:r>
          </w:p>
        </w:tc>
        <w:tc>
          <w:tcPr>
            <w:tcW w:type="dxa" w:w="1820"/>
            <w:tcMar>
              <w:top w:type="dxa" w:w="60"/>
              <w:left w:type="dxa" w:w="100"/>
              <w:bottom w:type="dxa" w:w="60"/>
              <w:right w:type="dxa" w:w="100"/>
            </w:tcMar>
          </w:tcPr>
          <w:p>
            <w:pPr>
              <w:jc w:val="left"/>
            </w:pPr>
            <w:r>
              <w:rPr>
                <w:rFonts w:ascii="Arial" w:cs="Arial" w:eastAsia="Arial" w:hAnsi="Arial"/>
                <w:b w:val="false"/>
                <w:bCs w:val="false"/>
                <w:sz w:val="20"/>
                <w:szCs w:val="20"/>
              </w:rPr>
              <w:t xml:space="preserve">14.8%</w:t>
            </w:r>
          </w:p>
        </w:tc>
        <w:tc>
          <w:tcPr>
            <w:tcW w:type="dxa" w:w="1820"/>
            <w:tcMar>
              <w:top w:type="dxa" w:w="60"/>
              <w:left w:type="dxa" w:w="100"/>
              <w:bottom w:type="dxa" w:w="60"/>
              <w:right w:type="dxa" w:w="100"/>
            </w:tcMar>
          </w:tcPr>
          <w:p>
            <w:pPr>
              <w:jc w:val="left"/>
            </w:pPr>
            <w:r>
              <w:rPr>
                <w:rFonts w:ascii="Arial" w:cs="Arial" w:eastAsia="Arial" w:hAnsi="Arial"/>
                <w:b w:val="false"/>
                <w:bCs w:val="false"/>
                <w:sz w:val="20"/>
                <w:szCs w:val="20"/>
              </w:rPr>
              <w:t xml:space="preserve">12.4%</w:t>
            </w:r>
          </w:p>
        </w:tc>
        <w:tc>
          <w:tcPr>
            <w:tcW w:type="dxa" w:w="1820"/>
            <w:tcMar>
              <w:top w:type="dxa" w:w="60"/>
              <w:left w:type="dxa" w:w="100"/>
              <w:bottom w:type="dxa" w:w="60"/>
              <w:right w:type="dxa" w:w="100"/>
            </w:tcMar>
          </w:tcPr>
          <w:p>
            <w:pPr>
              <w:jc w:val="left"/>
            </w:pPr>
            <w:r>
              <w:rPr>
                <w:rFonts w:ascii="Arial" w:cs="Arial" w:eastAsia="Arial" w:hAnsi="Arial"/>
                <w:b w:val="false"/>
                <w:bCs w:val="false"/>
                <w:sz w:val="20"/>
                <w:szCs w:val="20"/>
              </w:rPr>
              <w:t xml:space="preserve">27.2</w:t>
            </w:r>
          </w:p>
        </w:tc>
      </w:tr>
      <w:tr>
        <w:tc>
          <w:tcPr>
            <w:tcW w:type="dxa" w:w="390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Q1 2026</w:t>
            </w:r>
          </w:p>
        </w:tc>
        <w:tc>
          <w:tcPr>
            <w:tcW w:type="dxa" w:w="182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20.0%</w:t>
            </w:r>
          </w:p>
        </w:tc>
        <w:tc>
          <w:tcPr>
            <w:tcW w:type="dxa" w:w="182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17.0%</w:t>
            </w:r>
          </w:p>
        </w:tc>
        <w:tc>
          <w:tcPr>
            <w:tcW w:type="dxa" w:w="182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37.0</w:t>
            </w:r>
          </w:p>
        </w:tc>
      </w:tr>
      <w:tr>
        <w:tc>
          <w:tcPr>
            <w:tcW w:type="dxa" w:w="3900"/>
            <w:shd w:fill="C6EFCE" w:val="clear"/>
            <w:tcMar>
              <w:top w:type="dxa" w:w="60"/>
              <w:left w:type="dxa" w:w="100"/>
              <w:bottom w:type="dxa" w:w="60"/>
              <w:right w:type="dxa" w:w="100"/>
            </w:tcMar>
          </w:tcPr>
          <w:p>
            <w:pPr>
              <w:jc w:val="left"/>
            </w:pPr>
            <w:r>
              <w:rPr>
                <w:rFonts w:ascii="Arial" w:cs="Arial" w:eastAsia="Arial" w:hAnsi="Arial"/>
                <w:b/>
                <w:bCs/>
                <w:sz w:val="20"/>
                <w:szCs w:val="20"/>
              </w:rPr>
              <w:t xml:space="preserve">Q2 2026 — first cross above 40</w:t>
            </w:r>
          </w:p>
        </w:tc>
        <w:tc>
          <w:tcPr>
            <w:tcW w:type="dxa" w:w="1820"/>
            <w:shd w:fill="C6EFCE" w:val="clear"/>
            <w:tcMar>
              <w:top w:type="dxa" w:w="60"/>
              <w:left w:type="dxa" w:w="100"/>
              <w:bottom w:type="dxa" w:w="60"/>
              <w:right w:type="dxa" w:w="100"/>
            </w:tcMar>
          </w:tcPr>
          <w:p>
            <w:pPr>
              <w:jc w:val="left"/>
            </w:pPr>
            <w:r>
              <w:rPr>
                <w:rFonts w:ascii="Arial" w:cs="Arial" w:eastAsia="Arial" w:hAnsi="Arial"/>
                <w:b/>
                <w:bCs/>
                <w:sz w:val="20"/>
                <w:szCs w:val="20"/>
              </w:rPr>
              <w:t xml:space="preserve">23.0%</w:t>
            </w:r>
          </w:p>
        </w:tc>
        <w:tc>
          <w:tcPr>
            <w:tcW w:type="dxa" w:w="1820"/>
            <w:shd w:fill="C6EFCE" w:val="clear"/>
            <w:tcMar>
              <w:top w:type="dxa" w:w="60"/>
              <w:left w:type="dxa" w:w="100"/>
              <w:bottom w:type="dxa" w:w="60"/>
              <w:right w:type="dxa" w:w="100"/>
            </w:tcMar>
          </w:tcPr>
          <w:p>
            <w:pPr>
              <w:jc w:val="left"/>
            </w:pPr>
            <w:r>
              <w:rPr>
                <w:rFonts w:ascii="Arial" w:cs="Arial" w:eastAsia="Arial" w:hAnsi="Arial"/>
                <w:b/>
                <w:bCs/>
                <w:sz w:val="20"/>
                <w:szCs w:val="20"/>
              </w:rPr>
              <w:t xml:space="preserve">20.8%</w:t>
            </w:r>
          </w:p>
        </w:tc>
        <w:tc>
          <w:tcPr>
            <w:tcW w:type="dxa" w:w="1820"/>
            <w:shd w:fill="C6EFCE" w:val="clear"/>
            <w:tcMar>
              <w:top w:type="dxa" w:w="60"/>
              <w:left w:type="dxa" w:w="100"/>
              <w:bottom w:type="dxa" w:w="60"/>
              <w:right w:type="dxa" w:w="100"/>
            </w:tcMar>
          </w:tcPr>
          <w:p>
            <w:pPr>
              <w:jc w:val="left"/>
            </w:pPr>
            <w:r>
              <w:rPr>
                <w:rFonts w:ascii="Arial" w:cs="Arial" w:eastAsia="Arial" w:hAnsi="Arial"/>
                <w:b/>
                <w:bCs/>
                <w:sz w:val="20"/>
                <w:szCs w:val="20"/>
              </w:rPr>
              <w:t xml:space="preserve">43.8</w:t>
            </w:r>
          </w:p>
        </w:tc>
      </w:tr>
      <w:tr>
        <w:tc>
          <w:tcPr>
            <w:tcW w:type="dxa" w:w="390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FY2026 guided (non-GAAP op basis)</w:t>
            </w:r>
          </w:p>
        </w:tc>
        <w:tc>
          <w:tcPr>
            <w:tcW w:type="dxa" w:w="182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18.4%</w:t>
            </w:r>
          </w:p>
        </w:tc>
        <w:tc>
          <w:tcPr>
            <w:tcW w:type="dxa" w:w="182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12.4%</w:t>
            </w:r>
          </w:p>
        </w:tc>
        <w:tc>
          <w:tcPr>
            <w:tcW w:type="dxa" w:w="182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30.8</w:t>
            </w:r>
          </w:p>
        </w:tc>
      </w:tr>
    </w:tbl>
    <w:p>
      <w:pPr>
        <w:spacing w:before="120"/>
      </w:pPr>
      <w:r>
        <w:rPr>
          <w:rFonts w:ascii="Arial" w:cs="Arial" w:eastAsia="Arial" w:hAnsi="Arial"/>
          <w:b/>
          <w:bCs/>
          <w:sz w:val="24"/>
          <w:szCs w:val="24"/>
        </w:rPr>
        <w:t xml:space="preserve">The trend is the story: 27.2 → 37.0 → 43.8 in three prints. </w:t>
      </w:r>
      <w:r>
        <w:rPr>
          <w:rFonts w:ascii="Arial" w:cs="Arial" w:eastAsia="Arial" w:hAnsi="Arial"/>
          <w:sz w:val="24"/>
          <w:szCs w:val="24"/>
        </w:rPr>
        <w:t xml:space="preserve">Forward, the FY26 guided figure (30.8 on an operating-income basis) is the conservative floor — guidance uses non-GAAP op margin, not EBITDA, and assumes H2 deceleration. Bull case for the next twelve months: ~20% growth + ~22% EBITDA margin ≈ 42, holding above the line. Base: ~15% + ~20% ≈ 35. Bear: ~9% + ~16% ≈ 25. Staying above 40 on the EBITDA basis is the metric that keeps the re-rated multiple; the first quarter back below it likely unwinds a chunk of the August move.</w:t>
      </w:r>
    </w:p>
    <w:p>
      <w:pPr>
        <w:pStyle w:val="Heading1"/>
        <w:pageBreakBefore/>
        <w:spacing w:after="200" w:before="240"/>
      </w:pPr>
      <w:r>
        <w:rPr>
          <w:rFonts w:ascii="Arial" w:cs="Arial" w:eastAsia="Arial" w:hAnsi="Arial"/>
          <w:b/>
          <w:bCs/>
          <w:color w:val="1F4E79"/>
          <w:sz w:val="28"/>
          <w:szCs w:val="28"/>
        </w:rPr>
        <w:t xml:space="preserve">8. Peer Comparables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500"/>
        <w:gridCol w:w="1400"/>
        <w:gridCol w:w="1300"/>
        <w:gridCol w:w="1200"/>
        <w:gridCol w:w="960"/>
      </w:tblGrid>
      <w:tr>
        <w:trPr>
          <w:tblHeader/>
        </w:trPr>
        <w:tc>
          <w:tcPr>
            <w:tcW w:type="dxa" w:w="21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Company</w:t>
            </w:r>
          </w:p>
        </w:tc>
        <w:tc>
          <w:tcPr>
            <w:tcW w:type="dxa" w:w="9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Ticker</w:t>
            </w:r>
          </w:p>
        </w:tc>
        <w:tc>
          <w:tcPr>
            <w:tcW w:type="dxa" w:w="15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Fwd Growth</w:t>
            </w:r>
          </w:p>
        </w:tc>
        <w:tc>
          <w:tcPr>
            <w:tcW w:type="dxa" w:w="14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FCF Margin</w:t>
            </w:r>
          </w:p>
        </w:tc>
        <w:tc>
          <w:tcPr>
            <w:tcW w:type="dxa" w:w="13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Rule of 40</w:t>
            </w:r>
          </w:p>
        </w:tc>
        <w:tc>
          <w:tcPr>
            <w:tcW w:type="dxa" w:w="12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Fwd EV/Sales</w:t>
            </w:r>
          </w:p>
        </w:tc>
        <w:tc>
          <w:tcPr>
            <w:tcW w:type="dxa" w:w="960"/>
            <w:shd w:fill="D9E2F3" w:val="clear"/>
            <w:tcMar>
              <w:top w:type="dxa" w:w="60"/>
              <w:left w:type="dxa" w:w="100"/>
              <w:bottom w:type="dxa" w:w="60"/>
              <w:right w:type="dxa" w:w="100"/>
            </w:tcMar>
          </w:tcPr>
          <w:p>
            <w:pPr>
              <w:jc w:val="left"/>
            </w:pPr>
            <w:r>
              <w:rPr>
                <w:rFonts w:ascii="Arial" w:cs="Arial" w:eastAsia="Arial" w:hAnsi="Arial"/>
                <w:b/>
                <w:bCs/>
                <w:sz w:val="20"/>
                <w:szCs w:val="20"/>
              </w:rPr>
              <w:t xml:space="preserve">Note</w:t>
            </w:r>
          </w:p>
        </w:tc>
      </w:tr>
      <w:tr>
        <w:tc>
          <w:tcPr>
            <w:tcW w:type="dxa" w:w="2100"/>
            <w:shd w:fill="FFEB9C" w:val="clear"/>
            <w:tcMar>
              <w:top w:type="dxa" w:w="60"/>
              <w:left w:type="dxa" w:w="100"/>
              <w:bottom w:type="dxa" w:w="60"/>
              <w:right w:type="dxa" w:w="100"/>
            </w:tcMar>
          </w:tcPr>
          <w:p>
            <w:pPr>
              <w:jc w:val="left"/>
            </w:pPr>
            <w:r>
              <w:rPr>
                <w:rFonts w:ascii="Arial" w:cs="Arial" w:eastAsia="Arial" w:hAnsi="Arial"/>
                <w:b/>
                <w:bCs/>
                <w:sz w:val="20"/>
                <w:szCs w:val="20"/>
              </w:rPr>
              <w:t xml:space="preserve">Fastly</w:t>
            </w:r>
          </w:p>
        </w:tc>
        <w:tc>
          <w:tcPr>
            <w:tcW w:type="dxa" w:w="900"/>
            <w:shd w:fill="FFEB9C" w:val="clear"/>
            <w:tcMar>
              <w:top w:type="dxa" w:w="60"/>
              <w:left w:type="dxa" w:w="100"/>
              <w:bottom w:type="dxa" w:w="60"/>
              <w:right w:type="dxa" w:w="100"/>
            </w:tcMar>
          </w:tcPr>
          <w:p>
            <w:pPr>
              <w:jc w:val="left"/>
            </w:pPr>
            <w:r>
              <w:rPr>
                <w:rFonts w:ascii="Arial" w:cs="Arial" w:eastAsia="Arial" w:hAnsi="Arial"/>
                <w:b/>
                <w:bCs/>
                <w:sz w:val="20"/>
                <w:szCs w:val="20"/>
              </w:rPr>
              <w:t xml:space="preserve">FSLY</w:t>
            </w:r>
          </w:p>
        </w:tc>
        <w:tc>
          <w:tcPr>
            <w:tcW w:type="dxa" w:w="1500"/>
            <w:shd w:fill="FFEB9C" w:val="clear"/>
            <w:tcMar>
              <w:top w:type="dxa" w:w="60"/>
              <w:left w:type="dxa" w:w="100"/>
              <w:bottom w:type="dxa" w:w="60"/>
              <w:right w:type="dxa" w:w="100"/>
            </w:tcMar>
          </w:tcPr>
          <w:p>
            <w:pPr>
              <w:jc w:val="left"/>
            </w:pPr>
            <w:r>
              <w:rPr>
                <w:rFonts w:ascii="Arial" w:cs="Arial" w:eastAsia="Arial" w:hAnsi="Arial"/>
                <w:b/>
                <w:bCs/>
                <w:sz w:val="20"/>
                <w:szCs w:val="20"/>
              </w:rPr>
              <w:t xml:space="preserve">18%</w:t>
            </w:r>
          </w:p>
        </w:tc>
        <w:tc>
          <w:tcPr>
            <w:tcW w:type="dxa" w:w="1400"/>
            <w:shd w:fill="FFEB9C" w:val="clear"/>
            <w:tcMar>
              <w:top w:type="dxa" w:w="60"/>
              <w:left w:type="dxa" w:w="100"/>
              <w:bottom w:type="dxa" w:w="60"/>
              <w:right w:type="dxa" w:w="100"/>
            </w:tcMar>
          </w:tcPr>
          <w:p>
            <w:pPr>
              <w:jc w:val="left"/>
            </w:pPr>
            <w:r>
              <w:rPr>
                <w:rFonts w:ascii="Arial" w:cs="Arial" w:eastAsia="Arial" w:hAnsi="Arial"/>
                <w:b/>
                <w:bCs/>
                <w:sz w:val="20"/>
                <w:szCs w:val="20"/>
              </w:rPr>
              <w:t xml:space="preserve">8%</w:t>
            </w:r>
          </w:p>
        </w:tc>
        <w:tc>
          <w:tcPr>
            <w:tcW w:type="dxa" w:w="1300"/>
            <w:shd w:fill="FFEB9C" w:val="clear"/>
            <w:tcMar>
              <w:top w:type="dxa" w:w="60"/>
              <w:left w:type="dxa" w:w="100"/>
              <w:bottom w:type="dxa" w:w="60"/>
              <w:right w:type="dxa" w:w="100"/>
            </w:tcMar>
          </w:tcPr>
          <w:p>
            <w:pPr>
              <w:jc w:val="left"/>
            </w:pPr>
            <w:r>
              <w:rPr>
                <w:rFonts w:ascii="Arial" w:cs="Arial" w:eastAsia="Arial" w:hAnsi="Arial"/>
                <w:b/>
                <w:bCs/>
                <w:sz w:val="20"/>
                <w:szCs w:val="20"/>
              </w:rPr>
              <w:t xml:space="preserve">26</w:t>
            </w:r>
          </w:p>
        </w:tc>
        <w:tc>
          <w:tcPr>
            <w:tcW w:type="dxa" w:w="1200"/>
            <w:shd w:fill="FFEB9C" w:val="clear"/>
            <w:tcMar>
              <w:top w:type="dxa" w:w="60"/>
              <w:left w:type="dxa" w:w="100"/>
              <w:bottom w:type="dxa" w:w="60"/>
              <w:right w:type="dxa" w:w="100"/>
            </w:tcMar>
          </w:tcPr>
          <w:p>
            <w:pPr>
              <w:jc w:val="left"/>
            </w:pPr>
            <w:r>
              <w:rPr>
                <w:rFonts w:ascii="Arial" w:cs="Arial" w:eastAsia="Arial" w:hAnsi="Arial"/>
                <w:b/>
                <w:bCs/>
                <w:sz w:val="20"/>
                <w:szCs w:val="20"/>
              </w:rPr>
              <w:t xml:space="preserve">6.0x</w:t>
            </w:r>
          </w:p>
        </w:tc>
        <w:tc>
          <w:tcPr>
            <w:tcW w:type="dxa" w:w="960"/>
            <w:shd w:fill="FFEB9C" w:val="clear"/>
            <w:tcMar>
              <w:top w:type="dxa" w:w="60"/>
              <w:left w:type="dxa" w:w="100"/>
              <w:bottom w:type="dxa" w:w="60"/>
              <w:right w:type="dxa" w:w="100"/>
            </w:tcMar>
          </w:tcPr>
          <w:p>
            <w:pPr>
              <w:jc w:val="left"/>
            </w:pPr>
            <w:r>
              <w:rPr>
                <w:rFonts w:ascii="Arial" w:cs="Arial" w:eastAsia="Arial" w:hAnsi="Arial"/>
                <w:b/>
                <w:bCs/>
                <w:sz w:val="20"/>
                <w:szCs w:val="20"/>
              </w:rPr>
              <w:t xml:space="preserve">Subject</w:t>
            </w:r>
          </w:p>
        </w:tc>
      </w:tr>
      <w:tr>
        <w:tc>
          <w:tcPr>
            <w:tcW w:type="dxa" w:w="2100"/>
            <w:tcMar>
              <w:top w:type="dxa" w:w="60"/>
              <w:left w:type="dxa" w:w="100"/>
              <w:bottom w:type="dxa" w:w="60"/>
              <w:right w:type="dxa" w:w="100"/>
            </w:tcMar>
          </w:tcPr>
          <w:p>
            <w:pPr>
              <w:jc w:val="left"/>
            </w:pPr>
            <w:r>
              <w:rPr>
                <w:rFonts w:ascii="Arial" w:cs="Arial" w:eastAsia="Arial" w:hAnsi="Arial"/>
                <w:b w:val="false"/>
                <w:bCs w:val="false"/>
                <w:sz w:val="20"/>
                <w:szCs w:val="20"/>
              </w:rPr>
              <w:t xml:space="preserve">Cloudflare</w:t>
            </w:r>
          </w:p>
        </w:tc>
        <w:tc>
          <w:tcPr>
            <w:tcW w:type="dxa" w:w="900"/>
            <w:tcMar>
              <w:top w:type="dxa" w:w="60"/>
              <w:left w:type="dxa" w:w="100"/>
              <w:bottom w:type="dxa" w:w="60"/>
              <w:right w:type="dxa" w:w="100"/>
            </w:tcMar>
          </w:tcPr>
          <w:p>
            <w:pPr>
              <w:jc w:val="left"/>
            </w:pPr>
            <w:r>
              <w:rPr>
                <w:rFonts w:ascii="Arial" w:cs="Arial" w:eastAsia="Arial" w:hAnsi="Arial"/>
                <w:b w:val="false"/>
                <w:bCs w:val="false"/>
                <w:sz w:val="20"/>
                <w:szCs w:val="20"/>
              </w:rPr>
              <w:t xml:space="preserve">NET</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29%</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12%</w:t>
            </w:r>
          </w:p>
        </w:tc>
        <w:tc>
          <w:tcPr>
            <w:tcW w:type="dxa" w:w="1300"/>
            <w:tcMar>
              <w:top w:type="dxa" w:w="60"/>
              <w:left w:type="dxa" w:w="100"/>
              <w:bottom w:type="dxa" w:w="60"/>
              <w:right w:type="dxa" w:w="100"/>
            </w:tcMar>
          </w:tcPr>
          <w:p>
            <w:pPr>
              <w:jc w:val="left"/>
            </w:pPr>
            <w:r>
              <w:rPr>
                <w:rFonts w:ascii="Arial" w:cs="Arial" w:eastAsia="Arial" w:hAnsi="Arial"/>
                <w:b w:val="false"/>
                <w:bCs w:val="false"/>
                <w:sz w:val="20"/>
                <w:szCs w:val="20"/>
              </w:rPr>
              <w:t xml:space="preserve">41</w:t>
            </w:r>
          </w:p>
        </w:tc>
        <w:tc>
          <w:tcPr>
            <w:tcW w:type="dxa" w:w="1200"/>
            <w:tcMar>
              <w:top w:type="dxa" w:w="60"/>
              <w:left w:type="dxa" w:w="100"/>
              <w:bottom w:type="dxa" w:w="60"/>
              <w:right w:type="dxa" w:w="100"/>
            </w:tcMar>
          </w:tcPr>
          <w:p>
            <w:pPr>
              <w:jc w:val="left"/>
            </w:pPr>
            <w:r>
              <w:rPr>
                <w:rFonts w:ascii="Arial" w:cs="Arial" w:eastAsia="Arial" w:hAnsi="Arial"/>
                <w:b w:val="false"/>
                <w:bCs w:val="false"/>
                <w:sz w:val="20"/>
                <w:szCs w:val="20"/>
              </w:rPr>
              <w:t xml:space="preserve">26x</w:t>
            </w:r>
          </w:p>
        </w:tc>
        <w:tc>
          <w:tcPr>
            <w:tcW w:type="dxa" w:w="960"/>
            <w:tcMar>
              <w:top w:type="dxa" w:w="60"/>
              <w:left w:type="dxa" w:w="100"/>
              <w:bottom w:type="dxa" w:w="60"/>
              <w:right w:type="dxa" w:w="100"/>
            </w:tcMar>
          </w:tcPr>
          <w:p>
            <w:pPr>
              <w:jc w:val="left"/>
            </w:pPr>
            <w:r>
              <w:rPr>
                <w:rFonts w:ascii="Arial" w:cs="Arial" w:eastAsia="Arial" w:hAnsi="Arial"/>
                <w:b w:val="false"/>
                <w:bCs w:val="false"/>
                <w:sz w:val="20"/>
                <w:szCs w:val="20"/>
              </w:rPr>
              <w:t xml:space="preserve">Premium</w:t>
            </w:r>
          </w:p>
        </w:tc>
      </w:tr>
      <w:tr>
        <w:tc>
          <w:tcPr>
            <w:tcW w:type="dxa" w:w="2100"/>
            <w:tcMar>
              <w:top w:type="dxa" w:w="60"/>
              <w:left w:type="dxa" w:w="100"/>
              <w:bottom w:type="dxa" w:w="60"/>
              <w:right w:type="dxa" w:w="100"/>
            </w:tcMar>
          </w:tcPr>
          <w:p>
            <w:pPr>
              <w:jc w:val="left"/>
            </w:pPr>
            <w:r>
              <w:rPr>
                <w:rFonts w:ascii="Arial" w:cs="Arial" w:eastAsia="Arial" w:hAnsi="Arial"/>
                <w:b w:val="false"/>
                <w:bCs w:val="false"/>
                <w:sz w:val="20"/>
                <w:szCs w:val="20"/>
              </w:rPr>
              <w:t xml:space="preserve">Akamai</w:t>
            </w:r>
          </w:p>
        </w:tc>
        <w:tc>
          <w:tcPr>
            <w:tcW w:type="dxa" w:w="900"/>
            <w:tcMar>
              <w:top w:type="dxa" w:w="60"/>
              <w:left w:type="dxa" w:w="100"/>
              <w:bottom w:type="dxa" w:w="60"/>
              <w:right w:type="dxa" w:w="100"/>
            </w:tcMar>
          </w:tcPr>
          <w:p>
            <w:pPr>
              <w:jc w:val="left"/>
            </w:pPr>
            <w:r>
              <w:rPr>
                <w:rFonts w:ascii="Arial" w:cs="Arial" w:eastAsia="Arial" w:hAnsi="Arial"/>
                <w:b w:val="false"/>
                <w:bCs w:val="false"/>
                <w:sz w:val="20"/>
                <w:szCs w:val="20"/>
              </w:rPr>
              <w:t xml:space="preserve">AKAM</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6%</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22%</w:t>
            </w:r>
          </w:p>
        </w:tc>
        <w:tc>
          <w:tcPr>
            <w:tcW w:type="dxa" w:w="1300"/>
            <w:tcMar>
              <w:top w:type="dxa" w:w="60"/>
              <w:left w:type="dxa" w:w="100"/>
              <w:bottom w:type="dxa" w:w="60"/>
              <w:right w:type="dxa" w:w="100"/>
            </w:tcMar>
          </w:tcPr>
          <w:p>
            <w:pPr>
              <w:jc w:val="left"/>
            </w:pPr>
            <w:r>
              <w:rPr>
                <w:rFonts w:ascii="Arial" w:cs="Arial" w:eastAsia="Arial" w:hAnsi="Arial"/>
                <w:b w:val="false"/>
                <w:bCs w:val="false"/>
                <w:sz w:val="20"/>
                <w:szCs w:val="20"/>
              </w:rPr>
              <w:t xml:space="preserve">28</w:t>
            </w:r>
          </w:p>
        </w:tc>
        <w:tc>
          <w:tcPr>
            <w:tcW w:type="dxa" w:w="1200"/>
            <w:tcMar>
              <w:top w:type="dxa" w:w="60"/>
              <w:left w:type="dxa" w:w="100"/>
              <w:bottom w:type="dxa" w:w="60"/>
              <w:right w:type="dxa" w:w="100"/>
            </w:tcMar>
          </w:tcPr>
          <w:p>
            <w:pPr>
              <w:jc w:val="left"/>
            </w:pPr>
            <w:r>
              <w:rPr>
                <w:rFonts w:ascii="Arial" w:cs="Arial" w:eastAsia="Arial" w:hAnsi="Arial"/>
                <w:b w:val="false"/>
                <w:bCs w:val="false"/>
                <w:sz w:val="20"/>
                <w:szCs w:val="20"/>
              </w:rPr>
              <w:t xml:space="preserve">4.3x</w:t>
            </w:r>
          </w:p>
        </w:tc>
        <w:tc>
          <w:tcPr>
            <w:tcW w:type="dxa" w:w="960"/>
            <w:tcMar>
              <w:top w:type="dxa" w:w="60"/>
              <w:left w:type="dxa" w:w="100"/>
              <w:bottom w:type="dxa" w:w="60"/>
              <w:right w:type="dxa" w:w="100"/>
            </w:tcMar>
          </w:tcPr>
          <w:p>
            <w:pPr>
              <w:jc w:val="left"/>
            </w:pPr>
            <w:r>
              <w:rPr>
                <w:rFonts w:ascii="Arial" w:cs="Arial" w:eastAsia="Arial" w:hAnsi="Arial"/>
                <w:b w:val="false"/>
                <w:bCs w:val="false"/>
                <w:sz w:val="20"/>
                <w:szCs w:val="20"/>
              </w:rPr>
              <w:t xml:space="preserve">Mature</w:t>
            </w:r>
          </w:p>
        </w:tc>
      </w:tr>
      <w:tr>
        <w:tc>
          <w:tcPr>
            <w:tcW w:type="dxa" w:w="2100"/>
            <w:tcMar>
              <w:top w:type="dxa" w:w="60"/>
              <w:left w:type="dxa" w:w="100"/>
              <w:bottom w:type="dxa" w:w="60"/>
              <w:right w:type="dxa" w:w="100"/>
            </w:tcMar>
          </w:tcPr>
          <w:p>
            <w:pPr>
              <w:jc w:val="left"/>
            </w:pPr>
            <w:r>
              <w:rPr>
                <w:rFonts w:ascii="Arial" w:cs="Arial" w:eastAsia="Arial" w:hAnsi="Arial"/>
                <w:b w:val="false"/>
                <w:bCs w:val="false"/>
                <w:sz w:val="20"/>
                <w:szCs w:val="20"/>
              </w:rPr>
              <w:t xml:space="preserve">Datadog</w:t>
            </w:r>
          </w:p>
        </w:tc>
        <w:tc>
          <w:tcPr>
            <w:tcW w:type="dxa" w:w="900"/>
            <w:tcMar>
              <w:top w:type="dxa" w:w="60"/>
              <w:left w:type="dxa" w:w="100"/>
              <w:bottom w:type="dxa" w:w="60"/>
              <w:right w:type="dxa" w:w="100"/>
            </w:tcMar>
          </w:tcPr>
          <w:p>
            <w:pPr>
              <w:jc w:val="left"/>
            </w:pPr>
            <w:r>
              <w:rPr>
                <w:rFonts w:ascii="Arial" w:cs="Arial" w:eastAsia="Arial" w:hAnsi="Arial"/>
                <w:b w:val="false"/>
                <w:bCs w:val="false"/>
                <w:sz w:val="20"/>
                <w:szCs w:val="20"/>
              </w:rPr>
              <w:t xml:space="preserve">DDOG</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23%</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26%</w:t>
            </w:r>
          </w:p>
        </w:tc>
        <w:tc>
          <w:tcPr>
            <w:tcW w:type="dxa" w:w="1300"/>
            <w:tcMar>
              <w:top w:type="dxa" w:w="60"/>
              <w:left w:type="dxa" w:w="100"/>
              <w:bottom w:type="dxa" w:w="60"/>
              <w:right w:type="dxa" w:w="100"/>
            </w:tcMar>
          </w:tcPr>
          <w:p>
            <w:pPr>
              <w:jc w:val="left"/>
            </w:pPr>
            <w:r>
              <w:rPr>
                <w:rFonts w:ascii="Arial" w:cs="Arial" w:eastAsia="Arial" w:hAnsi="Arial"/>
                <w:b w:val="false"/>
                <w:bCs w:val="false"/>
                <w:sz w:val="20"/>
                <w:szCs w:val="20"/>
              </w:rPr>
              <w:t xml:space="preserve">49</w:t>
            </w:r>
          </w:p>
        </w:tc>
        <w:tc>
          <w:tcPr>
            <w:tcW w:type="dxa" w:w="1200"/>
            <w:tcMar>
              <w:top w:type="dxa" w:w="60"/>
              <w:left w:type="dxa" w:w="100"/>
              <w:bottom w:type="dxa" w:w="60"/>
              <w:right w:type="dxa" w:w="100"/>
            </w:tcMar>
          </w:tcPr>
          <w:p>
            <w:pPr>
              <w:jc w:val="left"/>
            </w:pPr>
            <w:r>
              <w:rPr>
                <w:rFonts w:ascii="Arial" w:cs="Arial" w:eastAsia="Arial" w:hAnsi="Arial"/>
                <w:b w:val="false"/>
                <w:bCs w:val="false"/>
                <w:sz w:val="20"/>
                <w:szCs w:val="20"/>
              </w:rPr>
              <w:t xml:space="preserve">13x</w:t>
            </w:r>
          </w:p>
        </w:tc>
        <w:tc>
          <w:tcPr>
            <w:tcW w:type="dxa" w:w="960"/>
            <w:tcMar>
              <w:top w:type="dxa" w:w="60"/>
              <w:left w:type="dxa" w:w="100"/>
              <w:bottom w:type="dxa" w:w="60"/>
              <w:right w:type="dxa" w:w="100"/>
            </w:tcMar>
          </w:tcPr>
          <w:p>
            <w:pPr>
              <w:jc w:val="left"/>
            </w:pPr>
            <w:r>
              <w:rPr>
                <w:rFonts w:ascii="Arial" w:cs="Arial" w:eastAsia="Arial" w:hAnsi="Arial"/>
                <w:b w:val="false"/>
                <w:bCs w:val="false"/>
                <w:sz w:val="20"/>
                <w:szCs w:val="20"/>
              </w:rPr>
              <w:t xml:space="preserve">High R40</w:t>
            </w:r>
          </w:p>
        </w:tc>
      </w:tr>
      <w:tr>
        <w:tc>
          <w:tcPr>
            <w:tcW w:type="dxa" w:w="2100"/>
            <w:tcMar>
              <w:top w:type="dxa" w:w="60"/>
              <w:left w:type="dxa" w:w="100"/>
              <w:bottom w:type="dxa" w:w="60"/>
              <w:right w:type="dxa" w:w="100"/>
            </w:tcMar>
          </w:tcPr>
          <w:p>
            <w:pPr>
              <w:jc w:val="left"/>
            </w:pPr>
            <w:r>
              <w:rPr>
                <w:rFonts w:ascii="Arial" w:cs="Arial" w:eastAsia="Arial" w:hAnsi="Arial"/>
                <w:b w:val="false"/>
                <w:bCs w:val="false"/>
                <w:sz w:val="20"/>
                <w:szCs w:val="20"/>
              </w:rPr>
              <w:t xml:space="preserve">Cloudflare-tier avg</w:t>
            </w:r>
          </w:p>
        </w:tc>
        <w:tc>
          <w:tcPr>
            <w:tcW w:type="dxa" w:w="900"/>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29%</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12%</w:t>
            </w:r>
          </w:p>
        </w:tc>
        <w:tc>
          <w:tcPr>
            <w:tcW w:type="dxa" w:w="1300"/>
            <w:tcMar>
              <w:top w:type="dxa" w:w="60"/>
              <w:left w:type="dxa" w:w="100"/>
              <w:bottom w:type="dxa" w:w="60"/>
              <w:right w:type="dxa" w:w="100"/>
            </w:tcMar>
          </w:tcPr>
          <w:p>
            <w:pPr>
              <w:jc w:val="left"/>
            </w:pPr>
            <w:r>
              <w:rPr>
                <w:rFonts w:ascii="Arial" w:cs="Arial" w:eastAsia="Arial" w:hAnsi="Arial"/>
                <w:b w:val="false"/>
                <w:bCs w:val="false"/>
                <w:sz w:val="20"/>
                <w:szCs w:val="20"/>
              </w:rPr>
              <w:t xml:space="preserve">41</w:t>
            </w:r>
          </w:p>
        </w:tc>
        <w:tc>
          <w:tcPr>
            <w:tcW w:type="dxa" w:w="1200"/>
            <w:tcMar>
              <w:top w:type="dxa" w:w="60"/>
              <w:left w:type="dxa" w:w="100"/>
              <w:bottom w:type="dxa" w:w="60"/>
              <w:right w:type="dxa" w:w="100"/>
            </w:tcMar>
          </w:tcPr>
          <w:p>
            <w:pPr>
              <w:jc w:val="left"/>
            </w:pPr>
            <w:r>
              <w:rPr>
                <w:rFonts w:ascii="Arial" w:cs="Arial" w:eastAsia="Arial" w:hAnsi="Arial"/>
                <w:b w:val="false"/>
                <w:bCs w:val="false"/>
                <w:sz w:val="20"/>
                <w:szCs w:val="20"/>
              </w:rPr>
              <w:t xml:space="preserve">26x</w:t>
            </w:r>
          </w:p>
        </w:tc>
        <w:tc>
          <w:tcPr>
            <w:tcW w:type="dxa" w:w="960"/>
            <w:tcMar>
              <w:top w:type="dxa" w:w="60"/>
              <w:left w:type="dxa" w:w="100"/>
              <w:bottom w:type="dxa" w:w="60"/>
              <w:right w:type="dxa" w:w="100"/>
            </w:tcMar>
          </w:tcPr>
          <w:p>
            <w:pPr>
              <w:jc w:val="left"/>
            </w:pPr>
            <w:r>
              <w:rPr>
                <w:rFonts w:ascii="Arial" w:cs="Arial" w:eastAsia="Arial" w:hAnsi="Arial"/>
                <w:b w:val="false"/>
                <w:bCs w:val="false"/>
                <w:sz w:val="20"/>
                <w:szCs w:val="20"/>
              </w:rPr>
              <w:t xml:space="preserve">Hypergrowth</w:t>
            </w:r>
          </w:p>
        </w:tc>
      </w:tr>
      <w:tr>
        <w:tc>
          <w:tcPr>
            <w:tcW w:type="dxa" w:w="2100"/>
            <w:tcMar>
              <w:top w:type="dxa" w:w="60"/>
              <w:left w:type="dxa" w:w="100"/>
              <w:bottom w:type="dxa" w:w="60"/>
              <w:right w:type="dxa" w:w="100"/>
            </w:tcMar>
          </w:tcPr>
          <w:p>
            <w:pPr>
              <w:jc w:val="left"/>
            </w:pPr>
            <w:r>
              <w:rPr>
                <w:rFonts w:ascii="Arial" w:cs="Arial" w:eastAsia="Arial" w:hAnsi="Arial"/>
                <w:b w:val="false"/>
                <w:bCs w:val="false"/>
                <w:sz w:val="20"/>
                <w:szCs w:val="20"/>
              </w:rPr>
              <w:t xml:space="preserve">CDN/infra avg</w:t>
            </w:r>
          </w:p>
        </w:tc>
        <w:tc>
          <w:tcPr>
            <w:tcW w:type="dxa" w:w="900"/>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18%</w:t>
            </w:r>
          </w:p>
        </w:tc>
        <w:tc>
          <w:tcPr>
            <w:tcW w:type="dxa" w:w="1300"/>
            <w:tcMar>
              <w:top w:type="dxa" w:w="60"/>
              <w:left w:type="dxa" w:w="100"/>
              <w:bottom w:type="dxa" w:w="60"/>
              <w:right w:type="dxa" w:w="100"/>
            </w:tcMar>
          </w:tcPr>
          <w:p>
            <w:pPr>
              <w:jc w:val="left"/>
            </w:pPr>
            <w:r>
              <w:rPr>
                <w:rFonts w:ascii="Arial" w:cs="Arial" w:eastAsia="Arial" w:hAnsi="Arial"/>
                <w:b w:val="false"/>
                <w:bCs w:val="false"/>
                <w:sz w:val="20"/>
                <w:szCs w:val="20"/>
              </w:rPr>
              <w:t xml:space="preserve">28</w:t>
            </w:r>
          </w:p>
        </w:tc>
        <w:tc>
          <w:tcPr>
            <w:tcW w:type="dxa" w:w="1200"/>
            <w:tcMar>
              <w:top w:type="dxa" w:w="60"/>
              <w:left w:type="dxa" w:w="100"/>
              <w:bottom w:type="dxa" w:w="60"/>
              <w:right w:type="dxa" w:w="100"/>
            </w:tcMar>
          </w:tcPr>
          <w:p>
            <w:pPr>
              <w:jc w:val="left"/>
            </w:pPr>
            <w:r>
              <w:rPr>
                <w:rFonts w:ascii="Arial" w:cs="Arial" w:eastAsia="Arial" w:hAnsi="Arial"/>
                <w:b w:val="false"/>
                <w:bCs w:val="false"/>
                <w:sz w:val="20"/>
                <w:szCs w:val="20"/>
              </w:rPr>
              <w:t xml:space="preserve">4.0x</w:t>
            </w:r>
          </w:p>
        </w:tc>
        <w:tc>
          <w:tcPr>
            <w:tcW w:type="dxa" w:w="960"/>
            <w:tcMar>
              <w:top w:type="dxa" w:w="60"/>
              <w:left w:type="dxa" w:w="100"/>
              <w:bottom w:type="dxa" w:w="60"/>
              <w:right w:type="dxa" w:w="100"/>
            </w:tcMar>
          </w:tcPr>
          <w:p>
            <w:pPr>
              <w:jc w:val="left"/>
            </w:pPr>
            <w:r>
              <w:rPr>
                <w:rFonts w:ascii="Arial" w:cs="Arial" w:eastAsia="Arial" w:hAnsi="Arial"/>
                <w:b w:val="false"/>
                <w:bCs w:val="false"/>
                <w:sz w:val="20"/>
                <w:szCs w:val="20"/>
              </w:rPr>
              <w:t xml:space="preserve">Mature infra</w:t>
            </w:r>
          </w:p>
        </w:tc>
      </w:tr>
      <w:tr>
        <w:tc>
          <w:tcPr>
            <w:tcW w:type="dxa" w:w="2100"/>
            <w:tcMar>
              <w:top w:type="dxa" w:w="60"/>
              <w:left w:type="dxa" w:w="100"/>
              <w:bottom w:type="dxa" w:w="60"/>
              <w:right w:type="dxa" w:w="100"/>
            </w:tcMar>
          </w:tcPr>
          <w:p>
            <w:pPr>
              <w:jc w:val="left"/>
            </w:pPr>
            <w:r>
              <w:rPr>
                <w:rFonts w:ascii="Arial" w:cs="Arial" w:eastAsia="Arial" w:hAnsi="Arial"/>
                <w:b w:val="false"/>
                <w:bCs w:val="false"/>
                <w:sz w:val="20"/>
                <w:szCs w:val="20"/>
              </w:rPr>
              <w:t xml:space="preserve">Limelight/Edgio</w:t>
            </w:r>
          </w:p>
        </w:tc>
        <w:tc>
          <w:tcPr>
            <w:tcW w:type="dxa" w:w="900"/>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W w:type="dxa" w:w="1300"/>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W w:type="dxa" w:w="1200"/>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W w:type="dxa" w:w="960"/>
            <w:tcMar>
              <w:top w:type="dxa" w:w="60"/>
              <w:left w:type="dxa" w:w="100"/>
              <w:bottom w:type="dxa" w:w="60"/>
              <w:right w:type="dxa" w:w="100"/>
            </w:tcMar>
          </w:tcPr>
          <w:p>
            <w:pPr>
              <w:jc w:val="left"/>
            </w:pPr>
            <w:r>
              <w:rPr>
                <w:rFonts w:ascii="Arial" w:cs="Arial" w:eastAsia="Arial" w:hAnsi="Arial"/>
                <w:b w:val="false"/>
                <w:bCs w:val="false"/>
                <w:sz w:val="20"/>
                <w:szCs w:val="20"/>
              </w:rPr>
              <w:t xml:space="preserve">Went to zero</w:t>
            </w:r>
          </w:p>
        </w:tc>
      </w:tr>
    </w:tbl>
    <w:p>
      <w:pPr>
        <w:spacing w:before="120"/>
      </w:pPr>
      <w:r>
        <w:rPr>
          <w:rFonts w:ascii="Arial" w:cs="Arial" w:eastAsia="Arial" w:hAnsi="Arial"/>
          <w:sz w:val="24"/>
          <w:szCs w:val="24"/>
        </w:rPr>
        <w:t xml:space="preserve">In June, Fastly traded at ~4.4x forward sales — in line with mature Akamai despite 3x the growth. That anomaly closed: at ~6.0x, Fastly now carries a premium to the mature-infra tier that its Rule of 40 cross arguably earns, while remaining far below Cloudflare's ~26x. The relative-value argument that made HOLD comfortable at $20 is spent; from here the multiple needs the growth to keep showing up.</w:t>
      </w:r>
    </w:p>
    <w:p>
      <w:pPr>
        <w:pStyle w:val="Heading1"/>
        <w:pageBreakBefore/>
        <w:spacing w:after="200" w:before="240"/>
      </w:pPr>
      <w:r>
        <w:rPr>
          <w:rFonts w:ascii="Arial" w:cs="Arial" w:eastAsia="Arial" w:hAnsi="Arial"/>
          <w:b/>
          <w:bCs/>
          <w:color w:val="1F4E79"/>
          <w:sz w:val="28"/>
          <w:szCs w:val="28"/>
        </w:rPr>
        <w:t xml:space="preserve">9. Technical Setup</w:t>
      </w:r>
    </w:p>
    <w:p>
      <w:pPr>
        <w:spacing w:after="60"/>
        <w:jc w:val="center"/>
      </w:pPr>
      <w:r>
        <w:drawing>
          <wp:inline distT="0" distB="0" distL="0" distR="0">
            <wp:extent cx="59436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90825"/>
                    </a:xfrm>
                    <a:prstGeom prst="rect">
                      <a:avLst/>
                    </a:prstGeom>
                  </pic:spPr>
                </pic:pic>
              </a:graphicData>
            </a:graphic>
          </wp:inline>
        </w:drawing>
      </w:r>
    </w:p>
    <w:p>
      <w:pPr>
        <w:spacing w:after="200"/>
        <w:jc w:val="center"/>
      </w:pPr>
      <w:r>
        <w:rPr>
          <w:rFonts w:ascii="Arial" w:cs="Arial" w:eastAsia="Arial" w:hAnsi="Arial"/>
          <w:i/>
          <w:iCs/>
          <w:sz w:val="18"/>
          <w:szCs w:val="18"/>
        </w:rPr>
        <w:t xml:space="preserve">FSLY Daily Chart — SMA 20/50/200 | Source: Finviz.com | August 11,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Current Price</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$27.75 (Aug 10 close; +20.9% on the day)</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52-Week Range</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$6.70 – $34.82</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20-Day SMA (est.)</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~$21.50</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50-Day SMA</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$19.83</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200-Day SMA</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$17.22 (price well above — uptrend intact)</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RSI (14)</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70.3 — overbought</w:t>
            </w:r>
          </w:p>
        </w:tc>
      </w:tr>
      <w:tr>
        <w:tc>
          <w:tcPr>
            <w:tcW w:type="dxa" w:w="3600"/>
            <w:shd w:fill="F2F2F2" w:val="clear"/>
            <w:tcMar>
              <w:top w:type="dxa" w:w="60"/>
              <w:left w:type="dxa" w:w="100"/>
              <w:bottom w:type="dxa" w:w="60"/>
              <w:right w:type="dxa" w:w="100"/>
            </w:tcMar>
          </w:tcPr>
          <w:p>
            <w:pPr>
              <w:jc w:val="left"/>
            </w:pPr>
            <w:r>
              <w:rPr>
                <w:rFonts w:ascii="Arial" w:cs="Arial" w:eastAsia="Arial" w:hAnsi="Arial"/>
                <w:b/>
                <w:bCs/>
                <w:sz w:val="20"/>
                <w:szCs w:val="20"/>
              </w:rPr>
              <w:t xml:space="preserve">Short % of Float</w:t>
            </w:r>
          </w:p>
        </w:tc>
        <w:tc>
          <w:tcPr>
            <w:tcW w:type="dxa" w:w="5760"/>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18.1% (25.5M shares)</w:t>
            </w:r>
          </w:p>
        </w:tc>
      </w:tr>
      <w:tr>
        <w:tc>
          <w:tcPr>
            <w:tcW w:type="dxa" w:w="3600"/>
            <w:tcMar>
              <w:top w:type="dxa" w:w="60"/>
              <w:left w:type="dxa" w:w="100"/>
              <w:bottom w:type="dxa" w:w="60"/>
              <w:right w:type="dxa" w:w="100"/>
            </w:tcMar>
          </w:tcPr>
          <w:p>
            <w:pPr>
              <w:jc w:val="left"/>
            </w:pPr>
            <w:r>
              <w:rPr>
                <w:rFonts w:ascii="Arial" w:cs="Arial" w:eastAsia="Arial" w:hAnsi="Arial"/>
                <w:b/>
                <w:bCs/>
                <w:sz w:val="20"/>
                <w:szCs w:val="20"/>
              </w:rPr>
              <w:t xml:space="preserve">Implied Volatility</w:t>
            </w:r>
          </w:p>
        </w:tc>
        <w:tc>
          <w:tcPr>
            <w:tcW w:type="dxa" w:w="5760"/>
            <w:tcMar>
              <w:top w:type="dxa" w:w="60"/>
              <w:left w:type="dxa" w:w="100"/>
              <w:bottom w:type="dxa" w:w="60"/>
              <w:right w:type="dxa" w:w="100"/>
            </w:tcMar>
          </w:tcPr>
          <w:p>
            <w:pPr>
              <w:jc w:val="left"/>
            </w:pPr>
            <w:r>
              <w:rPr>
                <w:rFonts w:ascii="Arial" w:cs="Arial" w:eastAsia="Arial" w:hAnsi="Arial"/>
                <w:b w:val="false"/>
                <w:bCs w:val="false"/>
                <w:sz w:val="20"/>
                <w:szCs w:val="20"/>
              </w:rPr>
              <w:t xml:space="preserve">Elevated post-spike — favors selling premium</w:t>
            </w:r>
          </w:p>
        </w:tc>
      </w:tr>
    </w:tbl>
    <w:p>
      <w:pPr>
        <w:spacing w:before="120"/>
      </w:pPr>
      <w:r>
        <w:rPr>
          <w:rFonts w:ascii="Arial" w:cs="Arial" w:eastAsia="Arial" w:hAnsi="Arial"/>
          <w:sz w:val="24"/>
          <w:szCs w:val="24"/>
        </w:rPr>
        <w:t xml:space="preserve">The structure flipped from range to uptrend: price gapped from $22.45 to $27.75 on 6x volume and now sits above all three SMAs, with the rising 200-day at $17.22 far below. Resistance is the May supply zone at $32.36–34.82 (52-week high); first support is the gap fill near $22.50–23.00, then the 50-day at $19.83. RSI at 70 is overbought — chasing here buys someone else's squeeze. Elevated post-event IV makes selling premium against the position unusually well paid.</w:t>
      </w:r>
    </w:p>
    <w:p>
      <w:pPr>
        <w:pStyle w:val="Heading1"/>
        <w:pageBreakBefore/>
        <w:spacing w:after="200" w:before="240"/>
      </w:pPr>
      <w:r>
        <w:rPr>
          <w:rFonts w:ascii="Arial" w:cs="Arial" w:eastAsia="Arial" w:hAnsi="Arial"/>
          <w:b/>
          <w:bCs/>
          <w:color w:val="1F4E79"/>
          <w:sz w:val="28"/>
          <w:szCs w:val="28"/>
        </w:rPr>
        <w:t xml:space="preserve">10. Options Overlay (Optional — position is long equity)</w:t>
      </w:r>
    </w:p>
    <w:p>
      <w:pPr>
        <w:spacing w:after="160"/>
      </w:pPr>
      <w:r>
        <w:rPr>
          <w:rFonts w:ascii="Arial" w:cs="Arial" w:eastAsia="Arial" w:hAnsi="Arial"/>
          <w:sz w:val="24"/>
          <w:szCs w:val="24"/>
        </w:rPr>
        <w:t xml:space="preserve">With the price above bull-case DCF, RSI overbought, and IV elevated after the spike, the overlay writes itself: monetize the strength rather than pay for more of it. Primary action is on the shares (Section 11); these structures are optional income/protection on the portion retained.</w:t>
      </w:r>
    </w:p>
    <w:p>
      <w:pPr>
        <w:spacing w:after="100" w:before="160"/>
      </w:pPr>
      <w:r>
        <w:rPr>
          <w:rFonts w:ascii="Arial" w:cs="Arial" w:eastAsia="Arial" w:hAnsi="Arial"/>
          <w:b/>
          <w:bCs/>
          <w:color w:val="1F4E79"/>
          <w:sz w:val="24"/>
          <w:szCs w:val="24"/>
        </w:rPr>
        <w:t xml:space="preserve">Covered Call — primary income</w:t>
      </w:r>
    </w:p>
    <w:p>
      <w:pPr>
        <w:spacing w:after="160"/>
      </w:pPr>
      <w:r>
        <w:rPr>
          <w:rFonts w:ascii="Arial" w:cs="Arial" w:eastAsia="Arial" w:hAnsi="Arial"/>
          <w:sz w:val="24"/>
          <w:szCs w:val="24"/>
        </w:rPr>
        <w:t xml:space="preserve">Sell the ~$32 call, 45–60 DTE (Sep/Oct 2026), 1 contract per 100 shares retained. Est. premium ~$1.30–1.60/share. Max gain: premium plus ~$4.25 appreciation to the strike (~$560–585/contract). Rationale: $32 sits at the bottom of the May supply zone and ~36% above bull-case DCF — upside surrendered only where the odds are already against continuation. ~5% per-cycle yield.</w:t>
      </w:r>
    </w:p>
    <w:p>
      <w:pPr>
        <w:spacing w:after="100" w:before="160"/>
      </w:pPr>
      <w:r>
        <w:rPr>
          <w:rFonts w:ascii="Arial" w:cs="Arial" w:eastAsia="Arial" w:hAnsi="Arial"/>
          <w:b/>
          <w:bCs/>
          <w:color w:val="1F4E79"/>
          <w:sz w:val="24"/>
          <w:szCs w:val="24"/>
        </w:rPr>
        <w:t xml:space="preserve">Collar — protect the gap gain</w:t>
      </w:r>
    </w:p>
    <w:p>
      <w:pPr>
        <w:spacing w:after="160"/>
      </w:pPr>
      <w:r>
        <w:rPr>
          <w:rFonts w:ascii="Arial" w:cs="Arial" w:eastAsia="Arial" w:hAnsi="Arial"/>
          <w:sz w:val="24"/>
          <w:szCs w:val="24"/>
        </w:rPr>
        <w:t xml:space="preserve">Sell the $32 call and buy the ~$22 put, ~60 DTE, for approximately net-zero cost. Floors the position near the gap-fill level while financing the protection. The right structure if trimming feels premature but giving back a +38% two-month move is unacceptable.</w:t>
      </w:r>
    </w:p>
    <w:p>
      <w:pPr>
        <w:spacing w:after="100" w:before="160"/>
      </w:pPr>
      <w:r>
        <w:rPr>
          <w:rFonts w:ascii="Arial" w:cs="Arial" w:eastAsia="Arial" w:hAnsi="Arial"/>
          <w:b/>
          <w:bCs/>
          <w:color w:val="1F4E79"/>
          <w:sz w:val="24"/>
          <w:szCs w:val="24"/>
        </w:rPr>
        <w:t xml:space="preserve">Cash-Secured Put — re-entry</w:t>
      </w:r>
    </w:p>
    <w:p>
      <w:pPr>
        <w:spacing w:after="160"/>
      </w:pPr>
      <w:r>
        <w:rPr>
          <w:rFonts w:ascii="Arial" w:cs="Arial" w:eastAsia="Arial" w:hAnsi="Arial"/>
          <w:sz w:val="24"/>
          <w:szCs w:val="24"/>
        </w:rPr>
        <w:t xml:space="preserve">Sell the ~$20 put, ~45 DTE, est. ~$0.55–0.75/share premium ($2,000 cash secured per contract). Assigns at a ~$19.35 net basis near the 50-day SMA if the gap fully fades. Note honestly: $19.35 is still 45% above base-case DCF ($13.37) — this re-accumulates at technical support, not intrinsic value, so size it modestly.</w:t>
      </w:r>
    </w:p>
    <w:p>
      <w:pPr>
        <w:spacing w:after="160"/>
      </w:pPr>
      <w:r>
        <w:rPr>
          <w:rFonts w:ascii="Arial" w:cs="Arial" w:eastAsia="Arial" w:hAnsi="Arial"/>
          <w:i/>
          <w:iCs/>
          <w:sz w:val="24"/>
          <w:szCs w:val="24"/>
        </w:rPr>
        <w:t xml:space="preserve">Size positions so the bear-case outcome (~$7 intrinsic) does not cause unacceptable portfolio loss.</w:t>
      </w:r>
    </w:p>
    <w:p>
      <w:pPr>
        <w:pStyle w:val="Heading1"/>
        <w:pageBreakBefore/>
        <w:spacing w:after="200" w:before="240"/>
      </w:pPr>
      <w:r>
        <w:rPr>
          <w:rFonts w:ascii="Arial" w:cs="Arial" w:eastAsia="Arial" w:hAnsi="Arial"/>
          <w:b/>
          <w:bCs/>
          <w:color w:val="1F4E79"/>
          <w:sz w:val="28"/>
          <w:szCs w:val="28"/>
        </w:rPr>
        <w:t xml:space="preserve">11. Verdict</w:t>
      </w:r>
    </w:p>
    <w:p>
      <w:pPr>
        <w:spacing w:after="160"/>
      </w:pPr>
      <w:r>
        <w:rPr>
          <w:rFonts w:ascii="Arial" w:cs="Arial" w:eastAsia="Arial" w:hAnsi="Arial"/>
          <w:b/>
          <w:bCs/>
          <w:sz w:val="24"/>
          <w:szCs w:val="24"/>
        </w:rPr>
        <w:t xml:space="preserve">Rating: HOLD — Trim into strength; do not add at current levels.</w:t>
      </w:r>
    </w:p>
    <w:p>
      <w:pPr>
        <w:spacing w:after="160"/>
      </w:pPr>
      <w:r>
        <w:rPr>
          <w:rFonts w:ascii="Arial" w:cs="Arial" w:eastAsia="Arial" w:hAnsi="Arial"/>
          <w:sz w:val="24"/>
          <w:szCs w:val="24"/>
        </w:rPr>
        <w:t xml:space="preserve">The business has done everything the June thesis asked of it, faster than expected: 23% growth, a 43.8 Rule of 40 on its first cross, record 65.8% gross margin, NRR at a three-year high of 117%, and a 46% upward revision to the full-year operating-income guide. This is a genuine platform inflection led by a Security segment compounding at 43% — the fundamental story is intact and improving.</w:t>
      </w:r>
    </w:p>
    <w:p>
      <w:pPr>
        <w:spacing w:after="160"/>
      </w:pPr>
      <w:r>
        <w:rPr>
          <w:rFonts w:ascii="Arial" w:cs="Arial" w:eastAsia="Arial" w:hAnsi="Arial"/>
          <w:sz w:val="24"/>
          <w:szCs w:val="24"/>
        </w:rPr>
        <w:t xml:space="preserve">But the market paid for it all at once. At $27.75 the stock trades 18% above the bull-case DCF of $23.59, 108% above base ($13.37), and at 6.0x forward sales — with an 18% short float and a +21% gap day doing part of the work. In June the price sat between base and bull and HOLD meant “don't chase, accumulate on weakness.” Today the price sits above bull, which converts the same rating into its mirror image: hold the core, but harvest.</w:t>
      </w:r>
    </w:p>
    <w:p>
      <w:pPr>
        <w:spacing w:after="160"/>
      </w:pPr>
      <w:r>
        <w:rPr>
          <w:rFonts w:ascii="Arial" w:cs="Arial" w:eastAsia="Arial" w:hAnsi="Arial"/>
          <w:sz w:val="24"/>
          <w:szCs w:val="24"/>
        </w:rPr>
        <w:t xml:space="preserve">Action: trim 25–40% of the position into the $30–35 zone (scaling near May's $32.36–34.82 supply), and run covered calls at the $32 strike on shares retained to be paid for that resistance. Do not add above ~$23 (bull DCF). Re-entry plan, learned from this cycle's miss: staged adds at technical support $19–20 (50-day) if leading indicators (NRR, RPO, Security growth) remain confirming — not just at the $13–17 intrinsic zone. Watch Q3 for the RPO trajectory and the first sign of the Rule of 40 slipping back below 40; either unwinds the re-rating case.</w:t>
      </w:r>
    </w:p>
    <w:p>
      <w:pPr>
        <w:spacing w:after="160"/>
      </w:pPr>
      <w:r>
        <w:rPr>
          <w:rFonts w:ascii="Arial" w:cs="Arial" w:eastAsia="Arial" w:hAnsi="Arial"/>
          <w:i/>
          <w:iCs/>
          <w:color w:val="555555"/>
          <w:sz w:val="18"/>
          <w:szCs w:val="18"/>
        </w:rPr>
        <w:t xml:space="preserve">Sources: Fastly Q2 2026 Earnings Press Release (8-K, August 5, 2026); Fastly Q2 2026 results via investors.fastly.com; price/technical data from stockanalysis.com (August 11, 2026); insider activity from SEC Form 4 filings via StockTitan (2026); CFO commentary via Seeking Alpha (August 10, 2026); prior analysis June 8, 2026 (FSLY_Investment_Memo.docx). This memo is for informational purposes only and does not constitute financial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CONFIDENTIAL — INVESTMENT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f7a1fa90cfac148afe7e5d7db20a5d9aef731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2026-08-11T14:38:12.325Z</dcterms:created>
  <dcterms:modified xsi:type="dcterms:W3CDTF">2026-08-11T14:38:12.337Z</dcterms:modified>
</cp:coreProperties>
</file>

<file path=docProps/custom.xml><?xml version="1.0" encoding="utf-8"?>
<Properties xmlns="http://schemas.openxmlformats.org/officeDocument/2006/custom-properties" xmlns:vt="http://schemas.openxmlformats.org/officeDocument/2006/docPropsVTypes"/>
</file>