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40"/>
          <w:szCs w:val="40"/>
        </w:rPr>
        <w:t xml:space="preserve">PALANTIR TECHNOLOGIES (PLTR)</w:t>
      </w:r>
    </w:p>
    <w:p>
      <w:pPr>
        <w:spacing w:after="80" w:before="0"/>
        <w:jc w:val="center"/>
      </w:pPr>
      <w:r>
        <w:rPr>
          <w:rFonts w:ascii="Arial" w:cs="Arial" w:eastAsia="Arial" w:hAnsi="Arial"/>
          <w:b/>
          <w:bCs/>
          <w:color w:val="2E75B6"/>
          <w:sz w:val="28"/>
          <w:szCs w:val="28"/>
        </w:rPr>
        <w:t xml:space="preserve">INVESTMENT MEMORANDUM</w:t>
      </w:r>
    </w:p>
    <w:p>
      <w:pPr>
        <w:spacing w:after="60" w:before="0"/>
        <w:jc w:val="center"/>
      </w:pPr>
      <w:r>
        <w:rPr>
          <w:rFonts w:ascii="Arial" w:cs="Arial" w:eastAsia="Arial" w:hAnsi="Arial"/>
          <w:b/>
          <w:bCs/>
          <w:sz w:val="24"/>
          <w:szCs w:val="24"/>
        </w:rPr>
        <w:t xml:space="preserve">Date: </w:t>
      </w:r>
      <w:r>
        <w:rPr>
          <w:rFonts w:ascii="Arial" w:cs="Arial" w:eastAsia="Arial" w:hAnsi="Arial"/>
          <w:sz w:val="24"/>
          <w:szCs w:val="24"/>
        </w:rPr>
        <w:t xml:space="preserve">June 5, 2026</w:t>
      </w:r>
      <w:r>
        <w:rPr>
          <w:rFonts w:ascii="Arial" w:cs="Arial" w:eastAsia="Arial" w:hAnsi="Arial"/>
          <w:b/>
          <w:bCs/>
          <w:sz w:val="24"/>
          <w:szCs w:val="24"/>
        </w:rPr>
        <w:t xml:space="preserve">   |   Analyst: </w:t>
      </w:r>
      <w:r>
        <w:rPr>
          <w:rFonts w:ascii="Arial" w:cs="Arial" w:eastAsia="Arial" w:hAnsi="Arial"/>
          <w:sz w:val="24"/>
          <w:szCs w:val="24"/>
        </w:rPr>
        <w:t xml:space="preserve">Ed</w:t>
      </w:r>
      <w:r>
        <w:rPr>
          <w:rFonts w:ascii="Arial" w:cs="Arial" w:eastAsia="Arial" w:hAnsi="Arial"/>
          <w:b/>
          <w:bCs/>
          <w:sz w:val="24"/>
          <w:szCs w:val="24"/>
        </w:rPr>
        <w:t xml:space="preserve">   |   Rating: </w:t>
      </w:r>
      <w:r>
        <w:rPr>
          <w:rFonts w:ascii="Arial" w:cs="Arial" w:eastAsia="Arial" w:hAnsi="Arial"/>
          <w:b/>
          <w:bCs/>
          <w:color w:val="C00000"/>
          <w:sz w:val="24"/>
          <w:szCs w:val="24"/>
        </w:rPr>
        <w:t xml:space="preserve">HOLD / AVOID NEW ENTRY</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1. INVESTMENT SUMMARY</w:t>
      </w:r>
    </w:p>
    <w:p>
      <w:pPr>
        <w:spacing w:after="60" w:before="60"/>
      </w:pPr>
      <w:r>
        <w:rPr>
          <w:rFonts w:ascii="Arial" w:cs="Arial" w:eastAsia="Arial" w:hAnsi="Arial"/>
          <w:sz w:val="24"/>
          <w:szCs w:val="24"/>
        </w:rPr>
        <w:t xml:space="preserve">Forward-looking scenario analysis using market-based revenue multiples (forward EV/Revenue). Complements the DCF model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600"/>
        <w:gridCol w:w="196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Drivers</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 Multiple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Implied Price</w:t>
            </w:r>
          </w:p>
        </w:tc>
        <w:tc>
          <w:tcPr>
            <w:tcW w:type="dxa" w:w="1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Current ($141.51)</w:t>
            </w:r>
          </w:p>
        </w:tc>
      </w:tr>
      <w:tr>
        <w:tc>
          <w:tcPr>
            <w:tcW w:type="dxa" w:w="1200"/>
            <w:tcBorders>
              <w:top w:val="single" w:color="AAAAAA" w:sz="4"/>
              <w:left w:val="single" w:color="AAAAAA" w:sz="4"/>
              <w:bottom w:val="single" w:color="AAAAAA" w:sz="4"/>
              <w:right w:val="single" w:color="AAAAAA" w:sz="4"/>
            </w:tcBorders>
            <w:shd w:fill="FFC7CE" w:val="clear"/>
            <w:tcMar>
              <w:top w:type="dxa" w:w="80"/>
              <w:left w:type="dxa" w:w="120"/>
              <w:bottom w:type="dxa" w:w="80"/>
              <w:right w:type="dxa" w:w="120"/>
            </w:tcMar>
            <w:vAlign w:val="center"/>
          </w:tcPr>
          <w:p>
            <w:pPr/>
            <w:r>
              <w:rPr>
                <w:rFonts w:ascii="Arial" w:cs="Arial" w:eastAsia="Arial" w:hAnsi="Arial"/>
                <w:b/>
                <w:bCs/>
                <w:color w:val="000000"/>
                <w:sz w:val="20"/>
                <w:szCs w:val="20"/>
              </w:rPr>
              <w:t xml:space="preserve">🐻 Bear Case</w:t>
            </w:r>
          </w:p>
        </w:tc>
        <w:tc>
          <w:tcPr>
            <w:tcW w:type="dxa" w:w="2800"/>
            <w:tcBorders>
              <w:top w:val="single" w:color="AAAAAA" w:sz="4"/>
              <w:left w:val="single" w:color="AAAAAA" w:sz="4"/>
              <w:bottom w:val="single" w:color="AAAAAA" w:sz="4"/>
              <w:right w:val="single" w:color="AAAAAA" w:sz="4"/>
            </w:tcBorders>
            <w:shd w:fill="FFC7CE" w:val="clear"/>
            <w:tcMar>
              <w:top w:type="dxa" w:w="80"/>
              <w:left w:type="dxa" w:w="120"/>
              <w:bottom w:type="dxa" w:w="80"/>
              <w:right w:type="dxa" w:w="120"/>
            </w:tcMar>
            <w:vAlign w:val="center"/>
          </w:tcPr>
          <w:p>
            <w:pPr/>
            <w:r>
              <w:rPr>
                <w:rFonts w:ascii="Arial" w:cs="Arial" w:eastAsia="Arial" w:hAnsi="Arial"/>
                <w:color w:val="000000"/>
                <w:sz w:val="20"/>
                <w:szCs w:val="20"/>
              </w:rPr>
              <w:t xml:space="preserve">Growth decelerates from 71% guided to 30–35% by Q4 2026. US commercial cools below $600M/quarter. AIP adoption stalls, competitive pressure from hyperscalers. Multiple compresses from 46x to 20–25x forward revenue.</w:t>
            </w:r>
          </w:p>
        </w:tc>
        <w:tc>
          <w:tcPr>
            <w:tcW w:type="dxa" w:w="1800"/>
            <w:tcBorders>
              <w:top w:val="single" w:color="AAAAAA" w:sz="4"/>
              <w:left w:val="single" w:color="AAAAAA" w:sz="4"/>
              <w:bottom w:val="single" w:color="AAAAAA" w:sz="4"/>
              <w:right w:val="single" w:color="AAAAAA" w:sz="4"/>
            </w:tcBorders>
            <w:shd w:fill="FFC7CE" w:val="clear"/>
            <w:tcMar>
              <w:top w:type="dxa" w:w="80"/>
              <w:left w:type="dxa" w:w="120"/>
              <w:bottom w:type="dxa" w:w="80"/>
              <w:right w:type="dxa" w:w="120"/>
            </w:tcMar>
            <w:vAlign w:val="center"/>
          </w:tcPr>
          <w:p>
            <w:pPr/>
            <w:r>
              <w:rPr>
                <w:rFonts w:ascii="Arial" w:cs="Arial" w:eastAsia="Arial" w:hAnsi="Arial"/>
                <w:color w:val="000000"/>
                <w:sz w:val="20"/>
                <w:szCs w:val="20"/>
              </w:rPr>
              <w:t xml:space="preserve">$7.2B × 22x ≈ $158B EV</w:t>
            </w:r>
          </w:p>
        </w:tc>
        <w:tc>
          <w:tcPr>
            <w:tcW w:type="dxa" w:w="1600"/>
            <w:tcBorders>
              <w:top w:val="single" w:color="AAAAAA" w:sz="4"/>
              <w:left w:val="single" w:color="AAAAAA" w:sz="4"/>
              <w:bottom w:val="single" w:color="AAAAAA" w:sz="4"/>
              <w:right w:val="single" w:color="AAAAAA" w:sz="4"/>
            </w:tcBorders>
            <w:shd w:fill="FFC7CE" w:val="clear"/>
            <w:tcMar>
              <w:top w:type="dxa" w:w="80"/>
              <w:left w:type="dxa" w:w="120"/>
              <w:bottom w:type="dxa" w:w="80"/>
              <w:right w:type="dxa" w:w="120"/>
            </w:tcMar>
            <w:vAlign w:val="center"/>
          </w:tcPr>
          <w:p>
            <w:pPr/>
            <w:r>
              <w:rPr>
                <w:rFonts w:ascii="Arial" w:cs="Arial" w:eastAsia="Arial" w:hAnsi="Arial"/>
                <w:color w:val="000000"/>
                <w:sz w:val="20"/>
                <w:szCs w:val="20"/>
              </w:rPr>
              <w:t xml:space="preserve">$62 – $68</w:t>
            </w:r>
          </w:p>
        </w:tc>
        <w:tc>
          <w:tcPr>
            <w:tcW w:type="dxa" w:w="1960"/>
            <w:tcBorders>
              <w:top w:val="single" w:color="AAAAAA" w:sz="4"/>
              <w:left w:val="single" w:color="AAAAAA" w:sz="4"/>
              <w:bottom w:val="single" w:color="AAAAAA" w:sz="4"/>
              <w:right w:val="single" w:color="AAAAAA" w:sz="4"/>
            </w:tcBorders>
            <w:shd w:fill="FFC7CE" w:val="clear"/>
            <w:tcMar>
              <w:top w:type="dxa" w:w="80"/>
              <w:left w:type="dxa" w:w="120"/>
              <w:bottom w:type="dxa" w:w="80"/>
              <w:right w:type="dxa" w:w="120"/>
            </w:tcMar>
            <w:vAlign w:val="center"/>
          </w:tcPr>
          <w:p>
            <w:pPr/>
            <w:r>
              <w:rPr>
                <w:rFonts w:ascii="Arial" w:cs="Arial" w:eastAsia="Arial" w:hAnsi="Arial"/>
                <w:color w:val="000000"/>
                <w:sz w:val="20"/>
                <w:szCs w:val="20"/>
              </w:rPr>
              <w:t xml:space="preserve">▼ ~55% decline</w:t>
            </w:r>
          </w:p>
        </w:tc>
      </w:tr>
      <w:tr>
        <w:tc>
          <w:tcPr>
            <w:tcW w:type="dxa" w:w="120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vAlign w:val="center"/>
          </w:tcPr>
          <w:p>
            <w:pPr/>
            <w:r>
              <w:rPr>
                <w:rFonts w:ascii="Arial" w:cs="Arial" w:eastAsia="Arial" w:hAnsi="Arial"/>
                <w:b/>
                <w:bCs/>
                <w:color w:val="000000"/>
                <w:sz w:val="20"/>
                <w:szCs w:val="20"/>
              </w:rPr>
              <w:t xml:space="preserve">⚖️ Base Case</w:t>
            </w:r>
          </w:p>
        </w:tc>
        <w:tc>
          <w:tcPr>
            <w:tcW w:type="dxa" w:w="280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vAlign w:val="center"/>
          </w:tcPr>
          <w:p>
            <w:pPr/>
            <w:r>
              <w:rPr>
                <w:rFonts w:ascii="Arial" w:cs="Arial" w:eastAsia="Arial" w:hAnsi="Arial"/>
                <w:color w:val="000000"/>
                <w:sz w:val="20"/>
                <w:szCs w:val="20"/>
              </w:rPr>
              <w:t xml:space="preserve">Revenue hits $7.656B FY2026 guidance at 71% growth. Growth moderates naturally to 45–50% by Q4. Multiples compress modestly to 35–40x as growth decelerates — still a premium, just more normal.</w:t>
            </w:r>
          </w:p>
        </w:tc>
        <w:tc>
          <w:tcPr>
            <w:tcW w:type="dxa" w:w="180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vAlign w:val="center"/>
          </w:tcPr>
          <w:p>
            <w:pPr/>
            <w:r>
              <w:rPr>
                <w:rFonts w:ascii="Arial" w:cs="Arial" w:eastAsia="Arial" w:hAnsi="Arial"/>
                <w:color w:val="000000"/>
                <w:sz w:val="20"/>
                <w:szCs w:val="20"/>
              </w:rPr>
              <w:t xml:space="preserve">$7.656B × 37x ≈ $283B EV</w:t>
            </w:r>
          </w:p>
        </w:tc>
        <w:tc>
          <w:tcPr>
            <w:tcW w:type="dxa" w:w="160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vAlign w:val="center"/>
          </w:tcPr>
          <w:p>
            <w:pPr/>
            <w:r>
              <w:rPr>
                <w:rFonts w:ascii="Arial" w:cs="Arial" w:eastAsia="Arial" w:hAnsi="Arial"/>
                <w:color w:val="000000"/>
                <w:sz w:val="20"/>
                <w:szCs w:val="20"/>
              </w:rPr>
              <w:t xml:space="preserve">$110 – $118</w:t>
            </w:r>
          </w:p>
        </w:tc>
        <w:tc>
          <w:tcPr>
            <w:tcW w:type="dxa" w:w="19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vAlign w:val="center"/>
          </w:tcPr>
          <w:p>
            <w:pPr/>
            <w:r>
              <w:rPr>
                <w:rFonts w:ascii="Arial" w:cs="Arial" w:eastAsia="Arial" w:hAnsi="Arial"/>
                <w:color w:val="000000"/>
                <w:sz w:val="20"/>
                <w:szCs w:val="20"/>
              </w:rPr>
              <w:t xml:space="preserve">▼ ~20% downside</w:t>
            </w:r>
          </w:p>
        </w:tc>
      </w:tr>
      <w:tr>
        <w:tc>
          <w:tcPr>
            <w:tcW w:type="dxa" w:w="1200"/>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vAlign w:val="center"/>
          </w:tcPr>
          <w:p>
            <w:pPr/>
            <w:r>
              <w:rPr>
                <w:rFonts w:ascii="Arial" w:cs="Arial" w:eastAsia="Arial" w:hAnsi="Arial"/>
                <w:b/>
                <w:bCs/>
                <w:color w:val="000000"/>
                <w:sz w:val="20"/>
                <w:szCs w:val="20"/>
              </w:rPr>
              <w:t xml:space="preserve">🐂 Bull Case</w:t>
            </w:r>
          </w:p>
        </w:tc>
        <w:tc>
          <w:tcPr>
            <w:tcW w:type="dxa" w:w="2800"/>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vAlign w:val="center"/>
          </w:tcPr>
          <w:p>
            <w:pPr/>
            <w:r>
              <w:rPr>
                <w:rFonts w:ascii="Arial" w:cs="Arial" w:eastAsia="Arial" w:hAnsi="Arial"/>
                <w:color w:val="000000"/>
                <w:sz w:val="20"/>
                <w:szCs w:val="20"/>
              </w:rPr>
              <w:t xml:space="preserve">Revenue exceeds $7.7B. US commercial hits $800M+/quarter. AIP creates global land-and-expand. Rule of 40 stays above 130. Market maintains 45–55x multiple as growth/profitability combination remains unprecedented.</w:t>
            </w:r>
          </w:p>
        </w:tc>
        <w:tc>
          <w:tcPr>
            <w:tcW w:type="dxa" w:w="1800"/>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vAlign w:val="center"/>
          </w:tcPr>
          <w:p>
            <w:pPr/>
            <w:r>
              <w:rPr>
                <w:rFonts w:ascii="Arial" w:cs="Arial" w:eastAsia="Arial" w:hAnsi="Arial"/>
                <w:color w:val="000000"/>
                <w:sz w:val="20"/>
                <w:szCs w:val="20"/>
              </w:rPr>
              <w:t xml:space="preserve">$7.7B × 50x ≈ $385B EV</w:t>
            </w:r>
          </w:p>
        </w:tc>
        <w:tc>
          <w:tcPr>
            <w:tcW w:type="dxa" w:w="1600"/>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vAlign w:val="center"/>
          </w:tcPr>
          <w:p>
            <w:pPr/>
            <w:r>
              <w:rPr>
                <w:rFonts w:ascii="Arial" w:cs="Arial" w:eastAsia="Arial" w:hAnsi="Arial"/>
                <w:color w:val="000000"/>
                <w:sz w:val="20"/>
                <w:szCs w:val="20"/>
              </w:rPr>
              <w:t xml:space="preserve">$150 – $160</w:t>
            </w:r>
          </w:p>
        </w:tc>
        <w:tc>
          <w:tcPr>
            <w:tcW w:type="dxa" w:w="1960"/>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vAlign w:val="center"/>
          </w:tcPr>
          <w:p>
            <w:pPr/>
            <w:r>
              <w:rPr>
                <w:rFonts w:ascii="Arial" w:cs="Arial" w:eastAsia="Arial" w:hAnsi="Arial"/>
                <w:color w:val="000000"/>
                <w:sz w:val="20"/>
                <w:szCs w:val="20"/>
              </w:rPr>
              <w:t xml:space="preserve">▲ ~7–13% upside</w:t>
            </w:r>
          </w:p>
        </w:tc>
      </w:tr>
    </w:tbl>
    <w:p>
      <w:pPr>
        <w:spacing w:after="120" w:before="80"/>
      </w:pPr>
      <w:r>
        <w:rPr>
          <w:rFonts w:ascii="Arial" w:cs="Arial" w:eastAsia="Arial" w:hAnsi="Arial"/>
          <w:i/>
          <w:iCs/>
          <w:color w:val="595959"/>
          <w:sz w:val="18"/>
          <w:szCs w:val="18"/>
        </w:rPr>
        <w:t xml:space="preserve">Note: Revenue multiple approach reflects market pricing behavior. DCF intrinsic value analysis (bull $78 / base $44 / bear $21) is in Section 4. The gap between market multiples and DCF reflects the growth premium embedded in PLTR’s price.</w:t>
      </w:r>
    </w:p>
    <w:p>
      <w:pPr>
        <w:pStyle w:val="Heading1"/>
        <w:pageBreakBefore/>
        <w:spacing w:after="120" w:before="360"/>
      </w:pPr>
      <w:r>
        <w:rPr>
          <w:rFonts w:ascii="Arial" w:cs="Arial" w:eastAsia="Arial" w:hAnsi="Arial"/>
          <w:b/>
          <w:bCs/>
          <w:color w:val="1F4E79"/>
          <w:sz w:val="32"/>
          <w:szCs w:val="32"/>
        </w:rPr>
        <w:t xml:space="preserve">2. BUSINESS SNAPSHOT</w:t>
      </w:r>
    </w:p>
    <w:p>
      <w:pPr>
        <w:spacing w:after="60" w:before="60"/>
      </w:pPr>
      <w:r>
        <w:rPr>
          <w:rFonts w:ascii="Arial" w:cs="Arial" w:eastAsia="Arial" w:hAnsi="Arial"/>
          <w:sz w:val="24"/>
          <w:szCs w:val="24"/>
        </w:rPr>
        <w:t xml:space="preserve">Palantir Technologies is an AI data analytics platform company serving government and commercial customers. Founded in 2003, it operates four platforms: Gotham (government intelligence), Foundry (commercial operations), Apollo (continuous deployment), and AIP (AI Platform — their newest and fastest-growing offering). Headquartered in Denver, CO.</w:t>
      </w:r>
    </w:p>
    <w:p>
      <w:pPr>
        <w:spacing w:after="60" w:before="60"/>
      </w:pPr>
      <w:r>
        <w:t xml:space="preserve"/>
      </w:r>
    </w:p>
    <w:p>
      <w:pPr>
        <w:spacing w:after="60" w:before="160"/>
      </w:pPr>
      <w:r>
        <w:rPr>
          <w:rFonts w:ascii="Arial" w:cs="Arial" w:eastAsia="Arial" w:hAnsi="Arial"/>
          <w:b/>
          <w:bCs/>
          <w:sz w:val="24"/>
          <w:szCs w:val="24"/>
        </w:rPr>
        <w:t xml:space="preserve">Q1 2026 Key Stats</w:t>
      </w:r>
    </w:p>
    <w:p>
      <w:pPr>
        <w:pStyle w:val="ListParagraph"/>
        <w:numPr>
          <w:ilvl w:val="0"/>
          <w:numId w:val="2"/>
        </w:numPr>
        <w:spacing w:after="40" w:before="40"/>
      </w:pPr>
      <w:r>
        <w:rPr>
          <w:rFonts w:ascii="Arial" w:cs="Arial" w:eastAsia="Arial" w:hAnsi="Arial"/>
          <w:sz w:val="24"/>
          <w:szCs w:val="24"/>
        </w:rPr>
        <w:t xml:space="preserve">Revenue: $1,632.6M (+85% YoY) — </w:t>
      </w:r>
      <w:r>
        <w:rPr>
          <w:rFonts w:ascii="Arial" w:cs="Arial" w:eastAsia="Arial" w:hAnsi="Arial"/>
          <w:b/>
          <w:bCs/>
          <w:sz w:val="24"/>
          <w:szCs w:val="24"/>
        </w:rPr>
        <w:t xml:space="preserve">highest growth rate since IPO</w:t>
      </w:r>
    </w:p>
    <w:p>
      <w:pPr>
        <w:pStyle w:val="ListParagraph"/>
        <w:numPr>
          <w:ilvl w:val="0"/>
          <w:numId w:val="2"/>
        </w:numPr>
        <w:spacing w:after="40" w:before="40"/>
      </w:pPr>
      <w:r>
        <w:rPr>
          <w:rFonts w:ascii="Arial" w:cs="Arial" w:eastAsia="Arial" w:hAnsi="Arial"/>
          <w:sz w:val="24"/>
          <w:szCs w:val="24"/>
        </w:rPr>
        <w:t xml:space="preserve">Gross Margin (GAAP): 87%</w:t>
      </w:r>
    </w:p>
    <w:p>
      <w:pPr>
        <w:pStyle w:val="ListParagraph"/>
        <w:numPr>
          <w:ilvl w:val="0"/>
          <w:numId w:val="2"/>
        </w:numPr>
        <w:spacing w:after="40" w:before="40"/>
      </w:pPr>
      <w:r>
        <w:rPr>
          <w:rFonts w:ascii="Arial" w:cs="Arial" w:eastAsia="Arial" w:hAnsi="Arial"/>
          <w:sz w:val="24"/>
          <w:szCs w:val="24"/>
        </w:rPr>
        <w:t xml:space="preserve">GAAP Operating Income: $754M (46% margin)</w:t>
      </w:r>
    </w:p>
    <w:p>
      <w:pPr>
        <w:pStyle w:val="ListParagraph"/>
        <w:numPr>
          <w:ilvl w:val="0"/>
          <w:numId w:val="2"/>
        </w:numPr>
        <w:spacing w:after="40" w:before="40"/>
      </w:pPr>
      <w:r>
        <w:rPr>
          <w:rFonts w:ascii="Arial" w:cs="Arial" w:eastAsia="Arial" w:hAnsi="Arial"/>
          <w:sz w:val="24"/>
          <w:szCs w:val="24"/>
        </w:rPr>
        <w:t xml:space="preserve">Adjusted Operating Income: $984M (60% margin)</w:t>
      </w:r>
    </w:p>
    <w:p>
      <w:pPr>
        <w:pStyle w:val="ListParagraph"/>
        <w:numPr>
          <w:ilvl w:val="0"/>
          <w:numId w:val="2"/>
        </w:numPr>
        <w:spacing w:after="40" w:before="40"/>
      </w:pPr>
      <w:r>
        <w:rPr>
          <w:rFonts w:ascii="Arial" w:cs="Arial" w:eastAsia="Arial" w:hAnsi="Arial"/>
          <w:sz w:val="24"/>
          <w:szCs w:val="24"/>
        </w:rPr>
        <w:t xml:space="preserve">Adjusted FCF: $925M (57% margin)</w:t>
      </w:r>
    </w:p>
    <w:p>
      <w:pPr>
        <w:pStyle w:val="ListParagraph"/>
        <w:numPr>
          <w:ilvl w:val="0"/>
          <w:numId w:val="2"/>
        </w:numPr>
        <w:spacing w:after="40" w:before="40"/>
      </w:pPr>
      <w:r>
        <w:rPr>
          <w:rFonts w:ascii="Arial" w:cs="Arial" w:eastAsia="Arial" w:hAnsi="Arial"/>
          <w:sz w:val="24"/>
          <w:szCs w:val="24"/>
        </w:rPr>
        <w:t xml:space="preserve">Cash + US Treasuries: $8.0B (debt-free)</w:t>
      </w:r>
    </w:p>
    <w:p>
      <w:pPr>
        <w:pStyle w:val="ListParagraph"/>
        <w:numPr>
          <w:ilvl w:val="0"/>
          <w:numId w:val="2"/>
        </w:numPr>
        <w:spacing w:after="40" w:before="40"/>
      </w:pPr>
      <w:r>
        <w:rPr>
          <w:rFonts w:ascii="Arial" w:cs="Arial" w:eastAsia="Arial" w:hAnsi="Arial"/>
          <w:sz w:val="24"/>
          <w:szCs w:val="24"/>
        </w:rPr>
        <w:t xml:space="preserve">Total customers (TTM): 1,007</w:t>
      </w:r>
    </w:p>
    <w:p>
      <w:pPr>
        <w:pStyle w:val="ListParagraph"/>
        <w:numPr>
          <w:ilvl w:val="0"/>
          <w:numId w:val="2"/>
        </w:numPr>
        <w:spacing w:after="40" w:before="40"/>
      </w:pPr>
      <w:r>
        <w:rPr>
          <w:rFonts w:ascii="Arial" w:cs="Arial" w:eastAsia="Arial" w:hAnsi="Arial"/>
          <w:sz w:val="24"/>
          <w:szCs w:val="24"/>
        </w:rPr>
        <w:t xml:space="preserve">Rule of 40 Score: </w:t>
      </w:r>
      <w:r>
        <w:rPr>
          <w:rFonts w:ascii="Arial" w:cs="Arial" w:eastAsia="Arial" w:hAnsi="Arial"/>
          <w:b/>
          <w:bCs/>
          <w:sz w:val="24"/>
          <w:szCs w:val="24"/>
        </w:rPr>
        <w:t xml:space="preserve">145</w:t>
      </w:r>
      <w:r>
        <w:rPr>
          <w:rFonts w:ascii="Arial" w:cs="Arial" w:eastAsia="Arial" w:hAnsi="Arial"/>
          <w:sz w:val="24"/>
          <w:szCs w:val="24"/>
        </w:rPr>
        <w:t xml:space="preserve"> (Revenue growth 85% + Adj. Op Margin 60%)</w:t>
      </w:r>
    </w:p>
    <w:p>
      <w:pPr>
        <w:spacing w:after="60" w:before="60"/>
      </w:pPr>
      <w:r>
        <w:t xml:space="preserve"/>
      </w:r>
    </w:p>
    <w:p>
      <w:pPr>
        <w:spacing w:after="60" w:before="160"/>
      </w:pPr>
      <w:r>
        <w:rPr>
          <w:rFonts w:ascii="Arial" w:cs="Arial" w:eastAsia="Arial" w:hAnsi="Arial"/>
          <w:b/>
          <w:bCs/>
          <w:sz w:val="24"/>
          <w:szCs w:val="24"/>
        </w:rPr>
        <w:t xml:space="preserve">FY2026 Guidance (raised May 4, 2026)</w:t>
      </w:r>
    </w:p>
    <w:p>
      <w:pPr>
        <w:pStyle w:val="ListParagraph"/>
        <w:numPr>
          <w:ilvl w:val="0"/>
          <w:numId w:val="2"/>
        </w:numPr>
        <w:spacing w:after="40" w:before="40"/>
      </w:pPr>
      <w:r>
        <w:rPr>
          <w:rFonts w:ascii="Arial" w:cs="Arial" w:eastAsia="Arial" w:hAnsi="Arial"/>
          <w:sz w:val="24"/>
          <w:szCs w:val="24"/>
        </w:rPr>
        <w:t xml:space="preserve">Revenue: $7,650–7,662M (+71% YoY)</w:t>
      </w:r>
    </w:p>
    <w:p>
      <w:pPr>
        <w:pStyle w:val="ListParagraph"/>
        <w:numPr>
          <w:ilvl w:val="0"/>
          <w:numId w:val="2"/>
        </w:numPr>
        <w:spacing w:after="40" w:before="40"/>
      </w:pPr>
      <w:r>
        <w:rPr>
          <w:rFonts w:ascii="Arial" w:cs="Arial" w:eastAsia="Arial" w:hAnsi="Arial"/>
          <w:sz w:val="24"/>
          <w:szCs w:val="24"/>
        </w:rPr>
        <w:t xml:space="preserve">Adj. Operating Income: $4,440–4,452M (~58% margin)</w:t>
      </w:r>
    </w:p>
    <w:p>
      <w:pPr>
        <w:pStyle w:val="ListParagraph"/>
        <w:numPr>
          <w:ilvl w:val="0"/>
          <w:numId w:val="2"/>
        </w:numPr>
        <w:spacing w:after="40" w:before="40"/>
      </w:pPr>
      <w:r>
        <w:rPr>
          <w:rFonts w:ascii="Arial" w:cs="Arial" w:eastAsia="Arial" w:hAnsi="Arial"/>
          <w:sz w:val="24"/>
          <w:szCs w:val="24"/>
        </w:rPr>
        <w:t xml:space="preserve">Adj. Free Cash Flow: $4,200–4,400M</w:t>
      </w:r>
    </w:p>
    <w:p>
      <w:pPr>
        <w:pStyle w:val="ListParagraph"/>
        <w:numPr>
          <w:ilvl w:val="0"/>
          <w:numId w:val="2"/>
        </w:numPr>
        <w:spacing w:after="40" w:before="40"/>
      </w:pPr>
      <w:r>
        <w:rPr>
          <w:rFonts w:ascii="Arial" w:cs="Arial" w:eastAsia="Arial" w:hAnsi="Arial"/>
          <w:sz w:val="24"/>
          <w:szCs w:val="24"/>
        </w:rPr>
        <w:t xml:space="preserve">US Commercial Revenue: &gt;$3,224M (+120% YoY)</w:t>
      </w:r>
    </w:p>
    <w:p>
      <w:pPr>
        <w:spacing w:after="60" w:before="60"/>
      </w:pPr>
      <w:r>
        <w:t xml:space="preserve"/>
      </w:r>
    </w:p>
    <w:p>
      <w:pPr>
        <w:spacing w:after="60" w:before="160"/>
      </w:pPr>
      <w:r>
        <w:rPr>
          <w:rFonts w:ascii="Arial" w:cs="Arial" w:eastAsia="Arial" w:hAnsi="Arial"/>
          <w:b/>
          <w:bCs/>
          <w:sz w:val="24"/>
          <w:szCs w:val="24"/>
        </w:rPr>
        <w:t xml:space="preserve">Revenue Segments — Q1 2026</w:t>
      </w:r>
    </w:p>
    <w:p>
      <w:pPr>
        <w:pStyle w:val="ListParagraph"/>
        <w:numPr>
          <w:ilvl w:val="0"/>
          <w:numId w:val="2"/>
        </w:numPr>
        <w:spacing w:after="40" w:before="40"/>
      </w:pPr>
      <w:r>
        <w:rPr>
          <w:rFonts w:ascii="Arial" w:cs="Arial" w:eastAsia="Arial" w:hAnsi="Arial"/>
          <w:sz w:val="24"/>
          <w:szCs w:val="24"/>
        </w:rPr>
        <w:t xml:space="preserve">US Revenue: $1,282M (+104% YoY) — </w:t>
      </w:r>
      <w:r>
        <w:rPr>
          <w:rFonts w:ascii="Arial" w:cs="Arial" w:eastAsia="Arial" w:hAnsi="Arial"/>
          <w:b/>
          <w:bCs/>
          <w:sz w:val="24"/>
          <w:szCs w:val="24"/>
        </w:rPr>
        <w:t xml:space="preserve">79% of total</w:t>
      </w:r>
    </w:p>
    <w:p>
      <w:pPr>
        <w:pStyle w:val="ListParagraph"/>
        <w:numPr>
          <w:ilvl w:val="0"/>
          <w:numId w:val="2"/>
        </w:numPr>
        <w:spacing w:after="40" w:before="40"/>
      </w:pPr>
      <w:r>
        <w:rPr>
          <w:rFonts w:ascii="Arial" w:cs="Arial" w:eastAsia="Arial" w:hAnsi="Arial"/>
          <w:sz w:val="24"/>
          <w:szCs w:val="24"/>
        </w:rPr>
        <w:t xml:space="preserve">US Commercial: $595M (+133% YoY)</w:t>
      </w:r>
    </w:p>
    <w:p>
      <w:pPr>
        <w:pStyle w:val="ListParagraph"/>
        <w:numPr>
          <w:ilvl w:val="0"/>
          <w:numId w:val="2"/>
        </w:numPr>
        <w:spacing w:after="40" w:before="40"/>
      </w:pPr>
      <w:r>
        <w:rPr>
          <w:rFonts w:ascii="Arial" w:cs="Arial" w:eastAsia="Arial" w:hAnsi="Arial"/>
          <w:sz w:val="24"/>
          <w:szCs w:val="24"/>
        </w:rPr>
        <w:t xml:space="preserve">US Government: $687M (+84% YoY)</w:t>
      </w:r>
    </w:p>
    <w:p>
      <w:pPr>
        <w:pStyle w:val="ListParagraph"/>
        <w:numPr>
          <w:ilvl w:val="0"/>
          <w:numId w:val="2"/>
        </w:numPr>
        <w:spacing w:after="40" w:before="40"/>
      </w:pPr>
      <w:r>
        <w:rPr>
          <w:rFonts w:ascii="Arial" w:cs="Arial" w:eastAsia="Arial" w:hAnsi="Arial"/>
          <w:sz w:val="24"/>
          <w:szCs w:val="24"/>
        </w:rPr>
        <w:t xml:space="preserve">International: $351M (+33% YoY)</w:t>
      </w:r>
    </w:p>
    <w:p>
      <w:pPr>
        <w:pStyle w:val="Heading1"/>
        <w:pageBreakBefore/>
        <w:spacing w:after="120" w:before="360"/>
      </w:pPr>
      <w:r>
        <w:rPr>
          <w:rFonts w:ascii="Arial" w:cs="Arial" w:eastAsia="Arial" w:hAnsi="Arial"/>
          <w:b/>
          <w:bCs/>
          <w:color w:val="1F4E79"/>
          <w:sz w:val="32"/>
          <w:szCs w:val="32"/>
        </w:rPr>
        <w:t xml:space="preserve">3. BULL CASE</w:t>
      </w:r>
    </w:p>
    <w:p>
      <w:pPr>
        <w:pStyle w:val="Heading2"/>
        <w:spacing w:after="80" w:before="240"/>
      </w:pPr>
      <w:r>
        <w:rPr>
          <w:rFonts w:ascii="Arial" w:cs="Arial" w:eastAsia="Arial" w:hAnsi="Arial"/>
          <w:b/>
          <w:bCs/>
          <w:color w:val="2E75B6"/>
          <w:sz w:val="28"/>
          <w:szCs w:val="28"/>
        </w:rPr>
        <w:t xml:space="preserve">a) AI Platform (AIP) Is a Genuine Paradigm Shift, Not Hype</w:t>
      </w:r>
    </w:p>
    <w:p>
      <w:pPr>
        <w:spacing w:after="60" w:before="60"/>
      </w:pPr>
      <w:r>
        <w:rPr>
          <w:rFonts w:ascii="Arial" w:cs="Arial" w:eastAsia="Arial" w:hAnsi="Arial"/>
          <w:sz w:val="24"/>
          <w:szCs w:val="24"/>
        </w:rPr>
        <w:t xml:space="preserve">The 85% revenue growth — the fastest since Palantir’s 2020 IPO — is driven overwhelmingly by AIP adoption. Unlike many AI vendors that sell API access, Palantir embeds AI decision-making into enterprise workflows with human oversight loops, which creates deep operational integration and switching costs. The 133% US commercial growth suggests this isn’t government contract cycling — it’s genuine enterprise adoption at scale. TCV closed was $2.41B in a single quarter with 206 deals over $1M, 72 over $5M, and 47 over $10M.</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b) US Commercial Is the Next $10B+ Business</w:t>
      </w:r>
    </w:p>
    <w:p>
      <w:pPr>
        <w:spacing w:after="60" w:before="60"/>
      </w:pPr>
      <w:r>
        <w:rPr>
          <w:rFonts w:ascii="Arial" w:cs="Arial" w:eastAsia="Arial" w:hAnsi="Arial"/>
          <w:sz w:val="24"/>
          <w:szCs w:val="24"/>
        </w:rPr>
        <w:t xml:space="preserve">US commercial RDV (remaining deal value) reached $4.92B — up 112% YoY and 12% QoQ. At guided $3.224B+ for full-year 2026 with 120% growth, this segment alone could be a $10–15B annual business within 3–4 years. The acceleration from 50% to 133% growth in one year suggests the company crossed an S-curve inflection. AIP bootcamps convert prospects to customers in days rather than months, dramatically shortening the sales cycle.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c) Operating Leverage Is Exceptional and Expanding</w:t>
      </w:r>
    </w:p>
    <w:p>
      <w:pPr>
        <w:spacing w:after="60" w:before="60"/>
      </w:pPr>
      <w:r>
        <w:rPr>
          <w:rFonts w:ascii="Arial" w:cs="Arial" w:eastAsia="Arial" w:hAnsi="Arial"/>
          <w:sz w:val="24"/>
          <w:szCs w:val="24"/>
        </w:rPr>
        <w:t xml:space="preserve">Palantir’s Rule of 40 score of 145 puts it alongside NVIDIA, Micron, and SK Hynix as one of the only companies in history to achieve this feat. Adjusted operating margin expanded from 44% (Q1 2025) to 60% (Q1 2026) while revenue grew 85%. FCF margin of 57% with $8B in cash (debt-free) provides strategic flexibility. If FCF margins stabilize at 55–60%, the company is on track to generate $4–5B in annual FCF by end of FY2026.</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d) Government Business Is Re-Accelerating, Not Plateauing</w:t>
      </w:r>
    </w:p>
    <w:p>
      <w:pPr>
        <w:spacing w:after="60" w:before="60"/>
      </w:pPr>
      <w:r>
        <w:rPr>
          <w:rFonts w:ascii="Arial" w:cs="Arial" w:eastAsia="Arial" w:hAnsi="Arial"/>
          <w:sz w:val="24"/>
          <w:szCs w:val="24"/>
        </w:rPr>
        <w:t xml:space="preserve">US government revenue grew 84% YoY in Q1 2026, dispelling concerns that government contracts were slowing. The DOGE (Department of Government Efficiency) tailwind represents a potential multi-year government modernization cycle that plays directly to Palantir’s strengths. Military AI spending is also increasing globally, and Palantir’s TITAN program and Maven Smart System contracts position it well.</w:t>
      </w:r>
    </w:p>
    <w:p>
      <w:pPr>
        <w:pStyle w:val="Heading1"/>
        <w:pageBreakBefore/>
        <w:spacing w:after="120" w:before="360"/>
      </w:pPr>
      <w:r>
        <w:rPr>
          <w:rFonts w:ascii="Arial" w:cs="Arial" w:eastAsia="Arial" w:hAnsi="Arial"/>
          <w:b/>
          <w:bCs/>
          <w:color w:val="1F4E79"/>
          <w:sz w:val="32"/>
          <w:szCs w:val="32"/>
        </w:rPr>
        <w:t xml:space="preserve">4. BEAR CASE</w:t>
      </w:r>
    </w:p>
    <w:p>
      <w:pPr>
        <w:pStyle w:val="Heading2"/>
        <w:spacing w:after="80" w:before="240"/>
      </w:pPr>
      <w:r>
        <w:rPr>
          <w:rFonts w:ascii="Arial" w:cs="Arial" w:eastAsia="Arial" w:hAnsi="Arial"/>
          <w:b/>
          <w:bCs/>
          <w:color w:val="2E75B6"/>
          <w:sz w:val="28"/>
          <w:szCs w:val="28"/>
        </w:rPr>
        <w:t xml:space="preserve">a) Valuation Is Extremely Difficult to Justify via DCF</w:t>
      </w:r>
    </w:p>
    <w:p>
      <w:pPr>
        <w:spacing w:after="60" w:before="60"/>
      </w:pPr>
      <w:r>
        <w:rPr>
          <w:rFonts w:ascii="Arial" w:cs="Arial" w:eastAsia="Arial" w:hAnsi="Arial"/>
          <w:sz w:val="24"/>
          <w:szCs w:val="24"/>
        </w:rPr>
        <w:t xml:space="preserve">At $141.51/share, Palantir’s market cap is ~$364B with an enterprise value of ~$356B. Even in a bull-case DCF with 60% FY2027 growth, 30% FY2030 growth, 62% FCF margins, and a 12% discount rate, intrinsic value is approximately $78/share. The base case (50% FY2027 growth, decelerating to 18% by FY2030, 13% discount rate) yields ~$44/share. The market is essentially pricing in continued hypergrowth for a decade, perfectly executed — the kind of pricing reserved for once-in-a-generation companies. Any growth deceleration will be severely punished.</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b) Revenue Concentration and Customer Count Are Concerns</w:t>
      </w:r>
    </w:p>
    <w:p>
      <w:pPr>
        <w:spacing w:after="60" w:before="60"/>
      </w:pPr>
      <w:r>
        <w:rPr>
          <w:rFonts w:ascii="Arial" w:cs="Arial" w:eastAsia="Arial" w:hAnsi="Arial"/>
          <w:sz w:val="24"/>
          <w:szCs w:val="24"/>
        </w:rPr>
        <w:t xml:space="preserve">Despite growing 85%, Palantir has only 1,007 total customers (TTM) — remarkably small for a company with a $364B market cap. The top 20 customers generate an average of $108M each (55% YoY growth) — meaning a handful of mega-contracts drive a disproportionate share of revenue. If even two or three large government contracts are delayed, cancelled, or not renewed, the impact on reported numbers would be significant. Customer diversification at this valuation is a key risk.</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c) SBC Dilution and Share Count Creep</w:t>
      </w:r>
    </w:p>
    <w:p>
      <w:pPr>
        <w:spacing w:after="60" w:before="60"/>
      </w:pPr>
      <w:r>
        <w:rPr>
          <w:rFonts w:ascii="Arial" w:cs="Arial" w:eastAsia="Arial" w:hAnsi="Arial"/>
          <w:sz w:val="24"/>
          <w:szCs w:val="24"/>
        </w:rPr>
        <w:t xml:space="preserve">SBC was $201.6M in Q1 2026 (12.3% of revenue), up 30% YoY. While this is lower as a percentage than many peers, Palantir’s history of heavy SBC use (particularly for founder/executive compensation) creates ongoing dilution. Diluted share count (2,571M) is already elevated. If revenue growth decelerates from 85% toward more sustainable levels (25–35%), the elevated SBC burn becomes harder to justify.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d) International Business Is Being Left Behind</w:t>
      </w:r>
    </w:p>
    <w:p>
      <w:pPr>
        <w:spacing w:after="60" w:before="60"/>
      </w:pPr>
      <w:r>
        <w:rPr>
          <w:rFonts w:ascii="Arial" w:cs="Arial" w:eastAsia="Arial" w:hAnsi="Arial"/>
          <w:sz w:val="24"/>
          <w:szCs w:val="24"/>
        </w:rPr>
        <w:t xml:space="preserve">International revenue grew only 33% YoY versus 104% for US — a growing divergence. International revenue is now just 21% of total, down from ~29% a year ago. If Palantir’s AI advantage is primarily a US government procurement story rather than a global enterprise software story, the TAM is significantly smaller than the bull thesis implies. European regulatory headwinds (GDPR, AI Act) further complicate international expansion.</w:t>
      </w:r>
    </w:p>
    <w:p>
      <w:pPr>
        <w:pStyle w:val="Heading1"/>
        <w:pageBreakBefore/>
        <w:spacing w:after="120" w:before="360"/>
      </w:pPr>
      <w:r>
        <w:rPr>
          <w:rFonts w:ascii="Arial" w:cs="Arial" w:eastAsia="Arial" w:hAnsi="Arial"/>
          <w:b/>
          <w:bCs/>
          <w:color w:val="1F4E79"/>
          <w:sz w:val="32"/>
          <w:szCs w:val="32"/>
        </w:rPr>
        <w:t xml:space="preserve">5. DCF VALUATION</w:t>
      </w:r>
    </w:p>
    <w:p>
      <w:pPr>
        <w:spacing w:after="60" w:before="60"/>
      </w:pPr>
      <w:r>
        <w:rPr>
          <w:rFonts w:ascii="Arial" w:cs="Arial" w:eastAsia="Arial" w:hAnsi="Arial"/>
          <w:sz w:val="24"/>
          <w:szCs w:val="24"/>
        </w:rPr>
        <w:t xml:space="preserve">The table below presents three scenario outcomes using a discounted cash flow analysis. All scenarios use Palantir’s Q1 2026 annualized FCF as the base, project forward four years with declining growth rates, and apply a Gordon Growth Model terminal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Metric</w:t>
            </w:r>
          </w:p>
        </w:tc>
        <w:tc>
          <w:tcPr>
            <w:tcW w:type="dxa" w:w="2187"/>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Bull Case</w:t>
            </w:r>
          </w:p>
        </w:tc>
        <w:tc>
          <w:tcPr>
            <w:tcW w:type="dxa" w:w="2187"/>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Base Case</w:t>
            </w:r>
          </w:p>
        </w:tc>
        <w:tc>
          <w:tcPr>
            <w:tcW w:type="dxa" w:w="218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Bear Case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Discount Rate</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12%</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13%</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15%</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Terminal Growth</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3.5%</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FY2027 Rev Growth</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60%</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50%</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35%</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FY2028 Rev Growth</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50%</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35%</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FY2029 Rev Growth</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40%</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25%</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15%</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FY2030 Rev Growth</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30%</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18%</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Terminal FCF Margin</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55%</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50%</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40%</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Implied EV ($B)</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$192.7B</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$104.2B</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$44.7B</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 Cash</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$8.0B</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$8.0B</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$8.0B</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Equity Value ($B)</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$200.7B</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$112.2B</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$52.7B</w:t>
            </w:r>
          </w:p>
        </w:tc>
      </w:tr>
      <w:tr>
        <w:tc>
          <w:tcPr>
            <w:tcW w:type="dxa" w:w="2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Intrinsic Price/Share</w:t>
            </w:r>
          </w:p>
        </w:tc>
        <w:tc>
          <w:tcPr>
            <w:tcW w:type="dxa" w:w="2187"/>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$78.07</w:t>
            </w:r>
          </w:p>
        </w:tc>
        <w:tc>
          <w:tcPr>
            <w:tcW w:type="dxa" w:w="2187"/>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$43.64</w:t>
            </w:r>
          </w:p>
        </w:tc>
        <w:tc>
          <w:tcPr>
            <w:tcW w:type="dxa" w:w="2186"/>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$20.50</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Current Price</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$141.51</w:t>
            </w:r>
          </w:p>
        </w:tc>
        <w:tc>
          <w:tcPr>
            <w:tcW w:type="dxa" w:w="2187"/>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$141.51</w:t>
            </w:r>
          </w:p>
        </w:tc>
        <w:tc>
          <w:tcPr>
            <w:tcW w:type="dxa" w:w="218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$141.51</w:t>
            </w:r>
          </w:p>
        </w:tc>
      </w:tr>
      <w:tr>
        <w:tc>
          <w:tcPr>
            <w:tcW w:type="dxa" w:w="2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Premium/(Discount)</w:t>
            </w:r>
          </w:p>
        </w:tc>
        <w:tc>
          <w:tcPr>
            <w:tcW w:type="dxa" w:w="2187"/>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(81%)</w:t>
            </w:r>
          </w:p>
        </w:tc>
        <w:tc>
          <w:tcPr>
            <w:tcW w:type="dxa" w:w="2187"/>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(225%)</w:t>
            </w:r>
          </w:p>
        </w:tc>
        <w:tc>
          <w:tcPr>
            <w:tcW w:type="dxa" w:w="2186"/>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(590%)</w:t>
            </w:r>
          </w:p>
        </w:tc>
      </w:tr>
    </w:tbl>
    <w:p>
      <w:pPr>
        <w:spacing w:after="60" w:before="60"/>
      </w:pPr>
      <w:r>
        <w:t xml:space="preserve"/>
      </w:r>
    </w:p>
    <w:p>
      <w:pPr>
        <w:spacing w:after="60" w:before="60"/>
      </w:pPr>
      <w:r>
        <w:rPr>
          <w:rFonts w:ascii="Arial" w:cs="Arial" w:eastAsia="Arial" w:hAnsi="Arial"/>
          <w:b/>
          <w:bCs/>
          <w:sz w:val="24"/>
          <w:szCs w:val="24"/>
        </w:rPr>
        <w:t xml:space="preserve">Note: </w:t>
      </w:r>
      <w:r>
        <w:rPr>
          <w:rFonts w:ascii="Arial" w:cs="Arial" w:eastAsia="Arial" w:hAnsi="Arial"/>
          <w:sz w:val="24"/>
          <w:szCs w:val="24"/>
        </w:rPr>
        <w:t xml:space="preserve">Current price represents an 81% premium even to the bull case DCF. The market is pricing in a scenario beyond the bull case — essentially assuming Palantir becomes the operating system for AI-driven enterprises globally with sustained 40%+ growth for 10+ years.</w:t>
      </w:r>
    </w:p>
    <w:p>
      <w:pPr>
        <w:pStyle w:val="Heading1"/>
        <w:pageBreakBefore/>
        <w:spacing w:after="120" w:before="360"/>
      </w:pPr>
      <w:r>
        <w:rPr>
          <w:rFonts w:ascii="Arial" w:cs="Arial" w:eastAsia="Arial" w:hAnsi="Arial"/>
          <w:b/>
          <w:bCs/>
          <w:color w:val="1F4E79"/>
          <w:sz w:val="32"/>
          <w:szCs w:val="32"/>
        </w:rPr>
        <w:t xml:space="preserve">6. RULE OF 40 ANALYSIS</w:t>
      </w:r>
    </w:p>
    <w:p>
      <w:pPr>
        <w:spacing w:after="60" w:before="60"/>
      </w:pPr>
      <w:r>
        <w:rPr>
          <w:rFonts w:ascii="Arial" w:cs="Arial" w:eastAsia="Arial" w:hAnsi="Arial"/>
          <w:b/>
          <w:bCs/>
          <w:sz w:val="24"/>
          <w:szCs w:val="24"/>
        </w:rPr>
        <w:t xml:space="preserve">Rule of 40 = </w:t>
      </w:r>
      <w:r>
        <w:rPr>
          <w:rFonts w:ascii="Arial" w:cs="Arial" w:eastAsia="Arial" w:hAnsi="Arial"/>
          <w:sz w:val="24"/>
          <w:szCs w:val="24"/>
        </w:rPr>
        <w:t xml:space="preserve">Revenue Growth Rate + Adjusted Operating Margin (or FCF Margin)</w:t>
      </w:r>
    </w:p>
    <w:p>
      <w:pPr>
        <w:spacing w:after="60" w:before="60"/>
      </w:pPr>
      <w:r>
        <w:t xml:space="preserve"/>
      </w:r>
    </w:p>
    <w:p>
      <w:pPr>
        <w:spacing w:after="60" w:before="60"/>
      </w:pPr>
      <w:r>
        <w:rPr>
          <w:rFonts w:ascii="Arial" w:cs="Arial" w:eastAsia="Arial" w:hAnsi="Arial"/>
          <w:sz w:val="24"/>
          <w:szCs w:val="24"/>
        </w:rPr>
        <w:t xml:space="preserve">Palantir’s score of 145 as of Q1 2026 is historically extraordinary. A score above 40 is considered “healthy” for SaaS; above 60 is “exceptional.” Only a handful of companies in history have exceeded 100.</w:t>
      </w:r>
    </w:p>
    <w:p>
      <w:pPr>
        <w:spacing w:after="60" w:before="60"/>
      </w:pPr>
      <w:r>
        <w:t xml:space="preserve"/>
      </w:r>
    </w:p>
    <w:p>
      <w:pPr>
        <w:spacing w:after="60" w:before="60"/>
      </w:pPr>
      <w:r>
        <w:rPr>
          <w:rFonts w:ascii="Arial" w:cs="Arial" w:eastAsia="Arial" w:hAnsi="Arial"/>
          <w:b/>
          <w:bCs/>
          <w:sz w:val="24"/>
          <w:szCs w:val="24"/>
        </w:rPr>
        <w:t xml:space="preserve">Key question: </w:t>
      </w:r>
      <w:r>
        <w:rPr>
          <w:rFonts w:ascii="Arial" w:cs="Arial" w:eastAsia="Arial" w:hAnsi="Arial"/>
          <w:sz w:val="24"/>
          <w:szCs w:val="24"/>
        </w:rPr>
        <w:t xml:space="preserve">Is this score repeatable, or is Q1 2026 the peak?</w:t>
      </w:r>
    </w:p>
    <w:p>
      <w:pPr>
        <w:spacing w:after="60" w:before="60"/>
      </w:pPr>
      <w:r>
        <w:t xml:space="preserve"/>
      </w:r>
    </w:p>
    <w:p>
      <w:pPr>
        <w:spacing w:after="60" w:before="160"/>
      </w:pPr>
      <w:r>
        <w:rPr>
          <w:rFonts w:ascii="Arial" w:cs="Arial" w:eastAsia="Arial" w:hAnsi="Arial"/>
          <w:b/>
          <w:bCs/>
          <w:sz w:val="24"/>
          <w:szCs w:val="24"/>
        </w:rPr>
        <w:t xml:space="preserve">Factors Suggesting Normalization</w:t>
      </w:r>
    </w:p>
    <w:p>
      <w:pPr>
        <w:pStyle w:val="ListParagraph"/>
        <w:numPr>
          <w:ilvl w:val="0"/>
          <w:numId w:val="2"/>
        </w:numPr>
        <w:spacing w:after="40" w:before="40"/>
      </w:pPr>
      <w:r>
        <w:rPr>
          <w:rFonts w:ascii="Arial" w:cs="Arial" w:eastAsia="Arial" w:hAnsi="Arial"/>
          <w:sz w:val="24"/>
          <w:szCs w:val="24"/>
        </w:rPr>
        <w:t xml:space="preserve">Revenue growth will mathematically decelerate as the base grows ($7.6B is harder to grow 85% than $883M).</w:t>
      </w:r>
    </w:p>
    <w:p>
      <w:pPr>
        <w:pStyle w:val="ListParagraph"/>
        <w:numPr>
          <w:ilvl w:val="0"/>
          <w:numId w:val="2"/>
        </w:numPr>
        <w:spacing w:after="40" w:before="40"/>
      </w:pPr>
      <w:r>
        <w:rPr>
          <w:rFonts w:ascii="Arial" w:cs="Arial" w:eastAsia="Arial" w:hAnsi="Arial"/>
          <w:sz w:val="24"/>
          <w:szCs w:val="24"/>
        </w:rPr>
        <w:t xml:space="preserve">Margin expansion also has limits at 60% adjusted operating margin.</w:t>
      </w:r>
    </w:p>
    <w:p>
      <w:pPr>
        <w:spacing w:after="60" w:before="60"/>
      </w:pPr>
      <w:r>
        <w:t xml:space="preserve"/>
      </w:r>
    </w:p>
    <w:p>
      <w:pPr>
        <w:spacing w:after="60" w:before="160"/>
      </w:pPr>
      <w:r>
        <w:rPr>
          <w:rFonts w:ascii="Arial" w:cs="Arial" w:eastAsia="Arial" w:hAnsi="Arial"/>
          <w:b/>
          <w:bCs/>
          <w:sz w:val="24"/>
          <w:szCs w:val="24"/>
        </w:rPr>
        <w:t xml:space="preserve">Factors Suggesting Elevated Score Persists</w:t>
      </w:r>
    </w:p>
    <w:p>
      <w:pPr>
        <w:pStyle w:val="ListParagraph"/>
        <w:numPr>
          <w:ilvl w:val="0"/>
          <w:numId w:val="2"/>
        </w:numPr>
        <w:spacing w:after="40" w:before="40"/>
      </w:pPr>
      <w:r>
        <w:rPr>
          <w:rFonts w:ascii="Arial" w:cs="Arial" w:eastAsia="Arial" w:hAnsi="Arial"/>
          <w:sz w:val="24"/>
          <w:szCs w:val="24"/>
        </w:rPr>
        <w:t xml:space="preserve">AIP adoption curves still in early innings with enterprise penetration low.</w:t>
      </w:r>
    </w:p>
    <w:p>
      <w:pPr>
        <w:pStyle w:val="ListParagraph"/>
        <w:numPr>
          <w:ilvl w:val="0"/>
          <w:numId w:val="2"/>
        </w:numPr>
        <w:spacing w:after="40" w:before="40"/>
      </w:pPr>
      <w:r>
        <w:rPr>
          <w:rFonts w:ascii="Arial" w:cs="Arial" w:eastAsia="Arial" w:hAnsi="Arial"/>
          <w:sz w:val="24"/>
          <w:szCs w:val="24"/>
        </w:rPr>
        <w:t xml:space="preserve">US government modernization cycle (DOGE) provides durable contract tailwinds.</w:t>
      </w:r>
    </w:p>
    <w:p>
      <w:pPr>
        <w:pStyle w:val="ListParagraph"/>
        <w:numPr>
          <w:ilvl w:val="0"/>
          <w:numId w:val="2"/>
        </w:numPr>
        <w:spacing w:after="40" w:before="40"/>
      </w:pPr>
      <w:r>
        <w:rPr>
          <w:rFonts w:ascii="Arial" w:cs="Arial" w:eastAsia="Arial" w:hAnsi="Arial"/>
          <w:sz w:val="24"/>
          <w:szCs w:val="24"/>
        </w:rPr>
        <w:t xml:space="preserve">Operational leverage on a largely fixed cost base continues to expand margins.</w:t>
      </w:r>
    </w:p>
    <w:p>
      <w:pPr>
        <w:pStyle w:val="ListParagraph"/>
        <w:numPr>
          <w:ilvl w:val="0"/>
          <w:numId w:val="2"/>
        </w:numPr>
        <w:spacing w:after="40" w:before="40"/>
      </w:pPr>
      <w:r>
        <w:rPr>
          <w:rFonts w:ascii="Arial" w:cs="Arial" w:eastAsia="Arial" w:hAnsi="Arial"/>
          <w:sz w:val="24"/>
          <w:szCs w:val="24"/>
        </w:rPr>
        <w:t xml:space="preserve">Strong pricing power with deep workflow integration creates lock-in.</w:t>
      </w:r>
    </w:p>
    <w:p>
      <w:pPr>
        <w:spacing w:after="60" w:before="60"/>
      </w:pPr>
      <w:r>
        <w:t xml:space="preserve"/>
      </w:r>
    </w:p>
    <w:p>
      <w:pPr>
        <w:spacing w:after="60" w:before="60"/>
      </w:pPr>
      <w:r>
        <w:rPr>
          <w:rFonts w:ascii="Arial" w:cs="Arial" w:eastAsia="Arial" w:hAnsi="Arial"/>
          <w:b/>
          <w:bCs/>
          <w:sz w:val="24"/>
          <w:szCs w:val="24"/>
        </w:rPr>
        <w:t xml:space="preserve">Our Estimate: </w:t>
      </w:r>
      <w:r>
        <w:rPr>
          <w:rFonts w:ascii="Arial" w:cs="Arial" w:eastAsia="Arial" w:hAnsi="Arial"/>
          <w:sz w:val="24"/>
          <w:szCs w:val="24"/>
        </w:rPr>
        <w:t xml:space="preserve">Rule of 40 score likely remains above 80–100 in FY2027 (Bull: 110 | Base: 88 | Bear: 65) — still extraordinary, but less extreme than the current 145 peak.</w:t>
      </w:r>
    </w:p>
    <w:p>
      <w:pPr>
        <w:pStyle w:val="Heading1"/>
        <w:pageBreakBefore/>
        <w:spacing w:after="120" w:before="360"/>
      </w:pPr>
      <w:r>
        <w:rPr>
          <w:rFonts w:ascii="Arial" w:cs="Arial" w:eastAsia="Arial" w:hAnsi="Arial"/>
          <w:b/>
          <w:bCs/>
          <w:color w:val="1F4E79"/>
          <w:sz w:val="32"/>
          <w:szCs w:val="32"/>
        </w:rPr>
        <w:t xml:space="preserve">7. PEER COMPARABLES</w:t>
      </w:r>
    </w:p>
    <w:p>
      <w:pPr>
        <w:spacing w:after="60" w:before="60"/>
      </w:pPr>
      <w:r>
        <w:rPr>
          <w:rFonts w:ascii="Arial" w:cs="Arial" w:eastAsia="Arial" w:hAnsi="Arial"/>
          <w:sz w:val="24"/>
          <w:szCs w:val="24"/>
        </w:rPr>
        <w:t xml:space="preserve">The following table compares Palantir against best-in-class enterprise software peers on key valuation and growth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60"/>
        <w:gridCol w:w="1200"/>
        <w:gridCol w:w="1200"/>
        <w:gridCol w:w="1200"/>
        <w:gridCol w:w="1800"/>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Ticker</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Fwd Rev Growth</w:t>
            </w:r>
          </w:p>
        </w:tc>
        <w:tc>
          <w:tcPr>
            <w:tcW w:type="dxa" w:w="12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FCF Margin</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Rule of 40</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Fwd EV/Sales</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EV/FCF</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Notes</w:t>
            </w:r>
          </w:p>
        </w:tc>
      </w:tr>
      <w:tr>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PLTR</w:t>
            </w:r>
          </w:p>
        </w:tc>
        <w:tc>
          <w:tcPr>
            <w:tcW w:type="dxa" w:w="1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71%</w:t>
            </w:r>
          </w:p>
        </w:tc>
        <w:tc>
          <w:tcPr>
            <w:tcW w:type="dxa" w:w="126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56%</w:t>
            </w:r>
          </w:p>
        </w:tc>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127</w:t>
            </w:r>
          </w:p>
        </w:tc>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46.5x</w:t>
            </w:r>
          </w:p>
        </w:tc>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82.7x</w:t>
            </w:r>
          </w:p>
        </w:tc>
        <w:tc>
          <w:tcPr>
            <w:tcW w:type="dxa" w:w="1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4"/>
                <w:szCs w:val="24"/>
              </w:rPr>
              <w:t xml:space="preserve">Extreme premium</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NOW</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22%</w:t>
            </w:r>
          </w:p>
        </w:tc>
        <w:tc>
          <w:tcPr>
            <w:tcW w:type="dxa" w:w="12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35%</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57</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7.5x</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21.3x</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CRM</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9%</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6.5x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20x</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SNOW</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23%</w:t>
            </w:r>
          </w:p>
        </w:tc>
        <w:tc>
          <w:tcPr>
            <w:tcW w:type="dxa" w:w="12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18%</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41</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10x</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55x</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DDOG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14x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56x</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CRWD</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20%</w:t>
            </w:r>
          </w:p>
        </w:tc>
        <w:tc>
          <w:tcPr>
            <w:tcW w:type="dxa" w:w="12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28%</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48</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20x</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71x</w:t>
            </w:r>
          </w:p>
        </w:tc>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WDAY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14%</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39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6x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24x</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4"/>
                <w:szCs w:val="24"/>
              </w:rPr>
              <w:t xml:space="preserve"/>
            </w:r>
          </w:p>
        </w:tc>
      </w:tr>
    </w:tbl>
    <w:p>
      <w:pPr>
        <w:spacing w:after="60" w:before="60"/>
      </w:pPr>
      <w:r>
        <w:t xml:space="preserve"/>
      </w:r>
    </w:p>
    <w:p>
      <w:pPr>
        <w:spacing w:after="60" w:before="60"/>
      </w:pPr>
      <w:r>
        <w:rPr>
          <w:rFonts w:ascii="Arial" w:cs="Arial" w:eastAsia="Arial" w:hAnsi="Arial"/>
          <w:b/>
          <w:bCs/>
          <w:sz w:val="24"/>
          <w:szCs w:val="24"/>
        </w:rPr>
        <w:t xml:space="preserve">Note: </w:t>
      </w:r>
      <w:r>
        <w:rPr>
          <w:rFonts w:ascii="Arial" w:cs="Arial" w:eastAsia="Arial" w:hAnsi="Arial"/>
          <w:sz w:val="24"/>
          <w:szCs w:val="24"/>
        </w:rPr>
        <w:t xml:space="preserve">PLTR’s valuation premium vs. peers is substantial even on a Rule-of-40-adjusted basis. At 46.5x forward EV/Sales, Palantir trades at more than 6x the multiple of ServiceNow — a company itself considered richly valued. The market is assigning a category-of-one premium that demands flawless execution for years to justify.</w:t>
      </w:r>
    </w:p>
    <w:p>
      <w:pPr>
        <w:pStyle w:val="Heading1"/>
        <w:pageBreakBefore/>
        <w:spacing w:after="120" w:before="360"/>
      </w:pPr>
      <w:r>
        <w:rPr>
          <w:rFonts w:ascii="Arial" w:cs="Arial" w:eastAsia="Arial" w:hAnsi="Arial"/>
          <w:b/>
          <w:bCs/>
          <w:color w:val="1F4E79"/>
          <w:sz w:val="32"/>
          <w:szCs w:val="32"/>
        </w:rPr>
        <w:t xml:space="preserve">8. TECHNICAL SETUP</w:t>
      </w:r>
    </w:p>
    <w:p>
      <w:pPr>
        <w:jc w:val="center"/>
      </w:pPr>
      <w:r>
        <w:rPr/>
        <w:drawing>
          <wp:inline xmlns:wp="http://schemas.openxmlformats.org/drawingml/2006/wordprocessingDrawing" distT="0" distB="114300" distL="0" distR="0">
            <wp:extent cx="5943600" cy="2795000"/>
            <wp:effectExtent l="0" t="0" r="0" b="0"/>
            <wp:docPr id="1" name="PLTR_Chart" descr="Palantir Technologies (PLTR) Daily Chart — Finv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TR_Chart"/>
                    <pic:cNvPicPr/>
                  </pic:nvPicPr>
                  <pic:blipFill>
                    <a:blip xmlns:r="http://schemas.openxmlformats.org/officeDocument/2006/relationships" r:embed="rId10"/>
                    <a:stretch>
                      <a:fillRect/>
                    </a:stretch>
                  </pic:blipFill>
                  <pic:spPr>
                    <a:xfrm>
                      <a:off x="0" y="0"/>
                      <a:ext cx="5943600" cy="2795000"/>
                    </a:xfrm>
                    <a:prstGeom prst="rect">
                      <a:avLst/>
                    </a:prstGeom>
                  </pic:spPr>
                </pic:pic>
              </a:graphicData>
            </a:graphic>
          </wp:inline>
        </w:drawing>
      </w:r>
    </w:p>
    <w:p>
      <w:pPr>
        <w:jc w:val="center"/>
      </w:pPr>
      <w:r>
        <w:rPr>
          <w:i/>
          <w:sz w:val="18"/>
          <w:color w:val="666666"/>
        </w:rPr>
        <w:t>PLTR Daily Chart — SMA 20/50/200 | Source: Finviz.com | June 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4"/>
              <w:left w:val="single" w:color="AAAAAA" w:sz="4"/>
              <w:bottom w:val="single" w:color="AAAAAA" w:sz="4"/>
              <w:right w:val="single" w:color="AAAAAA" w:sz="4"/>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Indicator</w:t>
            </w:r>
          </w:p>
        </w:tc>
        <w:tc>
          <w:tcPr>
            <w:tcW w:type="dxa" w:w="6240"/>
            <w:tcBorders>
              <w:top w:val="single" w:color="AAAAAA" w:sz="4"/>
              <w:left w:val="single" w:color="AAAAAA" w:sz="4"/>
              <w:bottom w:val="single" w:color="AAAAAA" w:sz="4"/>
              <w:right w:val="single" w:color="AAAAAA" w:sz="4"/>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Value / Interpretation</w:t>
            </w:r>
          </w:p>
        </w:tc>
      </w:tr>
      <w:tr>
        <w:tc>
          <w:tcPr>
            <w:tcW w:type="dxa" w:w="312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Current Price</w:t>
            </w:r>
          </w:p>
        </w:tc>
        <w:tc>
          <w:tcPr>
            <w:tcW w:type="dxa" w:w="624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$141.51 (June 5, 2026)</w:t>
            </w:r>
          </w:p>
        </w:tc>
      </w:tr>
      <w:tr>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52-Week Range</w:t>
            </w:r>
          </w:p>
        </w:tc>
        <w:tc>
          <w:tcPr>
            <w:tcW w:type="dxa" w:w="62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$118.93 to $207.52</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200-Day SMA</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4"/>
                <w:szCs w:val="24"/>
              </w:rPr>
              <w:t xml:space="preserve">$162.00 — stock is ~12% BELOW (bearish signal)</w:t>
            </w:r>
          </w:p>
        </w:tc>
      </w:tr>
      <w:tr>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50-Day SMA</w:t>
            </w:r>
          </w:p>
        </w:tc>
        <w:tc>
          <w:tcPr>
            <w:tcW w:type="dxa" w:w="62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$142.00 — stock is testing this level</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20-Day SMA</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$139.00 — stock is just above short-term support</w:t>
            </w:r>
          </w:p>
        </w:tc>
      </w:tr>
      <w:tr>
        <w:tc>
          <w:tcPr>
            <w:tcW w:type="dxa" w:w="312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RSI (14-day)</w:t>
            </w:r>
          </w:p>
        </w:tc>
        <w:tc>
          <w:tcPr>
            <w:tcW w:type="dxa" w:w="62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68.53 — approaching overbought territory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4"/>
                <w:szCs w:val="24"/>
              </w:rPr>
              <w:t xml:space="preserve">Implied Volatility</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4"/>
                <w:szCs w:val="24"/>
              </w:rPr>
              <w:t xml:space="preserve">68.79% | IV Rank: 46.73 (moderate)</w:t>
            </w:r>
          </w:p>
        </w:tc>
      </w:tr>
    </w:tbl>
    <w:p>
      <w:pPr>
        <w:spacing w:after="60" w:before="60"/>
      </w:pPr>
      <w:r>
        <w:t xml:space="preserve"/>
      </w:r>
    </w:p>
    <w:p>
      <w:pPr>
        <w:spacing w:after="60" w:before="160"/>
      </w:pPr>
      <w:r>
        <w:rPr>
          <w:rFonts w:ascii="Arial" w:cs="Arial" w:eastAsia="Arial" w:hAnsi="Arial"/>
          <w:b/>
          <w:bCs/>
          <w:sz w:val="24"/>
          <w:szCs w:val="24"/>
        </w:rPr>
        <w:t xml:space="preserve">Technical Interpretation</w:t>
      </w:r>
    </w:p>
    <w:p>
      <w:pPr>
        <w:spacing w:after="60" w:before="60"/>
      </w:pPr>
      <w:r>
        <w:rPr>
          <w:rFonts w:ascii="Arial" w:cs="Arial" w:eastAsia="Arial" w:hAnsi="Arial"/>
          <w:sz w:val="24"/>
          <w:szCs w:val="24"/>
        </w:rPr>
        <w:t xml:space="preserve">PLTR has recovered from its 52-week low ($118.93) but remains about 32% below its 52-week high ($207.52). The stock is in a “recovery channel” — above short-term SMAs (20/50-day) but below the 200-day. The 200-day SMA at $162 represents significant overhead resistance. RSI near 68 suggests limited near-term upside momentum without a catalyst. The moderate IV rank (46.73) means options are fairly priced — not cheap enough for aggressive buying, but not too expensive to sell premium.</w:t>
      </w:r>
    </w:p>
    <w:p>
      <w:pPr>
        <w:spacing w:after="60" w:before="60"/>
      </w:pPr>
      <w:r>
        <w:t xml:space="preserve"/>
      </w:r>
    </w:p>
    <w:p>
      <w:pPr>
        <w:spacing w:after="60" w:before="160"/>
      </w:pPr>
      <w:r>
        <w:rPr>
          <w:rFonts w:ascii="Arial" w:cs="Arial" w:eastAsia="Arial" w:hAnsi="Arial"/>
          <w:b/>
          <w:bCs/>
          <w:sz w:val="24"/>
          <w:szCs w:val="24"/>
        </w:rPr>
        <w:t xml:space="preserve">Key Levels</w:t>
      </w:r>
    </w:p>
    <w:p>
      <w:pPr>
        <w:pStyle w:val="ListParagraph"/>
        <w:numPr>
          <w:ilvl w:val="0"/>
          <w:numId w:val="2"/>
        </w:numPr>
        <w:spacing w:after="40" w:before="40"/>
      </w:pPr>
      <w:r>
        <w:rPr>
          <w:rFonts w:ascii="Arial" w:cs="Arial" w:eastAsia="Arial" w:hAnsi="Arial"/>
          <w:b/>
          <w:bCs/>
          <w:sz w:val="24"/>
          <w:szCs w:val="24"/>
        </w:rPr>
        <w:t xml:space="preserve">Support: </w:t>
      </w:r>
      <w:r>
        <w:rPr>
          <w:rFonts w:ascii="Arial" w:cs="Arial" w:eastAsia="Arial" w:hAnsi="Arial"/>
          <w:sz w:val="24"/>
          <w:szCs w:val="24"/>
        </w:rPr>
        <w:t xml:space="preserve">$135 (recent consolidation) | $120 (prior resistance) | $118.93 (52-week low)</w:t>
      </w:r>
    </w:p>
    <w:p>
      <w:pPr>
        <w:pStyle w:val="ListParagraph"/>
        <w:numPr>
          <w:ilvl w:val="0"/>
          <w:numId w:val="2"/>
        </w:numPr>
        <w:spacing w:after="40" w:before="40"/>
      </w:pPr>
      <w:r>
        <w:rPr>
          <w:rFonts w:ascii="Arial" w:cs="Arial" w:eastAsia="Arial" w:hAnsi="Arial"/>
          <w:b/>
          <w:bCs/>
          <w:sz w:val="24"/>
          <w:szCs w:val="24"/>
        </w:rPr>
        <w:t xml:space="preserve">Resistance: </w:t>
      </w:r>
      <w:r>
        <w:rPr>
          <w:rFonts w:ascii="Arial" w:cs="Arial" w:eastAsia="Arial" w:hAnsi="Arial"/>
          <w:sz w:val="24"/>
          <w:szCs w:val="24"/>
        </w:rPr>
        <w:t xml:space="preserve">$150 | $162 (200-day SMA) | $175 | $207.52 (52-week high)</w:t>
      </w:r>
    </w:p>
    <w:p>
      <w:pPr>
        <w:pStyle w:val="Heading1"/>
        <w:pageBreakBefore/>
        <w:spacing w:after="120" w:before="360"/>
      </w:pPr>
      <w:r>
        <w:rPr>
          <w:rFonts w:ascii="Arial" w:cs="Arial" w:eastAsia="Arial" w:hAnsi="Arial"/>
          <w:b/>
          <w:bCs/>
          <w:color w:val="1F4E79"/>
          <w:sz w:val="32"/>
          <w:szCs w:val="32"/>
        </w:rPr>
        <w:t xml:space="preserve">9. OPTIONS STRATEGY RECOMMENDATION</w:t>
      </w:r>
    </w:p>
    <w:p>
      <w:pPr>
        <w:spacing w:after="60" w:before="60"/>
      </w:pPr>
      <w:r>
        <w:rPr>
          <w:rFonts w:ascii="Arial" w:cs="Arial" w:eastAsia="Arial" w:hAnsi="Arial"/>
          <w:sz w:val="24"/>
          <w:szCs w:val="24"/>
        </w:rPr>
        <w:t xml:space="preserve">Given: (1) Stock trades at extreme premium to DCF intrinsic value, (2) IV rank at 46.73 (moderate), (3) Stock is recovering but below 200-day SMA, (4) Fundamental thesis is strong but valuation is the risk.</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For Current PLTR Shareholders</w:t>
      </w:r>
    </w:p>
    <w:p>
      <w:pPr>
        <w:spacing w:after="60" w:before="160"/>
      </w:pPr>
      <w:r>
        <w:rPr>
          <w:rFonts w:ascii="Arial" w:cs="Arial" w:eastAsia="Arial" w:hAnsi="Arial"/>
          <w:b/>
          <w:bCs/>
          <w:sz w:val="24"/>
          <w:szCs w:val="24"/>
        </w:rPr>
        <w:t xml:space="preserve">Strategy 1: Covered Call (Income Generation)</w:t>
      </w:r>
    </w:p>
    <w:p>
      <w:pPr>
        <w:spacing w:after="60" w:before="60"/>
      </w:pPr>
      <w:r>
        <w:rPr>
          <w:rFonts w:ascii="Arial" w:cs="Arial" w:eastAsia="Arial" w:hAnsi="Arial"/>
          <w:sz w:val="24"/>
          <w:szCs w:val="24"/>
        </w:rPr>
        <w:t xml:space="preserve">Sell covered calls at the $155–160 strike, 6–8 weeks out. At 69% IV, you can collect approximately $5–8 per contract per cycle. This reduces your effective cost basis while generating income if the stock consolidates below $155. Risk: if PLTR breaks out above $160 on a catalyst, shares get called away.</w:t>
      </w:r>
    </w:p>
    <w:p>
      <w:pPr>
        <w:spacing w:after="60" w:before="60"/>
      </w:pPr>
      <w:r>
        <w:t xml:space="preserve"/>
      </w:r>
    </w:p>
    <w:p>
      <w:pPr>
        <w:spacing w:after="60" w:before="160"/>
      </w:pPr>
      <w:r>
        <w:rPr>
          <w:rFonts w:ascii="Arial" w:cs="Arial" w:eastAsia="Arial" w:hAnsi="Arial"/>
          <w:b/>
          <w:bCs/>
          <w:sz w:val="24"/>
          <w:szCs w:val="24"/>
        </w:rPr>
        <w:t xml:space="preserve">Strategy 2: Protective Put (Downside Insurance)</w:t>
      </w:r>
    </w:p>
    <w:p>
      <w:pPr>
        <w:spacing w:after="60" w:before="60"/>
      </w:pPr>
      <w:r>
        <w:rPr>
          <w:rFonts w:ascii="Arial" w:cs="Arial" w:eastAsia="Arial" w:hAnsi="Arial"/>
          <w:sz w:val="24"/>
          <w:szCs w:val="24"/>
        </w:rPr>
        <w:t xml:space="preserve">Consider buying puts at the $120 strike (Jan 2027 expiry). Cost approximately $12–15 per contract. Protects against a return to 52-week low levels. Particularly relevant given the 81% DCF premium — if the macro environment shifts or growth decelerates, PLTR could reprice sharply toward intrinsic value.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For Potential New PLTR Entrants</w:t>
      </w:r>
    </w:p>
    <w:p>
      <w:pPr>
        <w:spacing w:after="60" w:before="160"/>
      </w:pPr>
      <w:r>
        <w:rPr>
          <w:rFonts w:ascii="Arial" w:cs="Arial" w:eastAsia="Arial" w:hAnsi="Arial"/>
          <w:b/>
          <w:bCs/>
          <w:sz w:val="24"/>
          <w:szCs w:val="24"/>
        </w:rPr>
        <w:t xml:space="preserve">Strategy 3: Cash-Secured Put (Better Entry)</w:t>
      </w:r>
    </w:p>
    <w:p>
      <w:pPr>
        <w:spacing w:after="60" w:before="60"/>
      </w:pPr>
      <w:r>
        <w:rPr>
          <w:rFonts w:ascii="Arial" w:cs="Arial" w:eastAsia="Arial" w:hAnsi="Arial"/>
          <w:sz w:val="24"/>
          <w:szCs w:val="24"/>
        </w:rPr>
        <w:t xml:space="preserve">Sell puts at the $120–125 strike (8–10 weeks out). Collect $8–12 premium. If assigned, effective cost basis ~$110–117 — significantly closer to the bull-case DCF value. If not assigned, collect the premium and repeat. This is the most defensible way to initiate a new PLTR position given the current valuation.</w:t>
      </w:r>
    </w:p>
    <w:p>
      <w:pPr>
        <w:spacing w:after="60" w:before="60"/>
      </w:pPr>
      <w:r>
        <w:t xml:space="preserve"/>
      </w:r>
    </w:p>
    <w:p>
      <w:pPr>
        <w:spacing w:after="60" w:before="160"/>
      </w:pPr>
      <w:r>
        <w:rPr>
          <w:rFonts w:ascii="Arial" w:cs="Arial" w:eastAsia="Arial" w:hAnsi="Arial"/>
          <w:b/>
          <w:bCs/>
          <w:sz w:val="24"/>
          <w:szCs w:val="24"/>
        </w:rPr>
        <w:t xml:space="preserve">Strategy 4: Bull Call Spread (Defined Risk Long)</w:t>
      </w:r>
    </w:p>
    <w:p>
      <w:pPr>
        <w:spacing w:after="60" w:before="60"/>
      </w:pPr>
      <w:r>
        <w:rPr>
          <w:rFonts w:ascii="Arial" w:cs="Arial" w:eastAsia="Arial" w:hAnsi="Arial"/>
          <w:sz w:val="24"/>
          <w:szCs w:val="24"/>
        </w:rPr>
        <w:t xml:space="preserve">Buy the $145 call, sell the $165 call (Jan 2027 expiry). Net debit ~$7–9. Max profit ~$11–13 if stock reaches $165. Only enter if you believe there’s a near-term catalyst (earnings beat, AI contract announcement) that could push the stock toward 52-week high levels.</w:t>
      </w:r>
    </w:p>
    <w:p>
      <w:pPr>
        <w:spacing w:after="60" w:before="60"/>
      </w:pPr>
      <w:r>
        <w:t xml:space="preserve"/>
      </w:r>
    </w:p>
    <w:p>
      <w:pPr>
        <w:pBdr>
          <w:top w:val="single" w:color="FFC107" w:sz="8" w:space="4"/>
          <w:left w:val="single" w:color="E6A817" w:sz="24" w:space="4"/>
          <w:bottom w:val="single" w:color="FFC107" w:sz="8" w:space="4"/>
          <w:right w:val="single" w:color="FFC107" w:sz="8" w:space="4"/>
        </w:pBdr>
        <w:shd w:fill="FFF3CD" w:val="clear"/>
        <w:spacing w:after="120" w:before="120"/>
      </w:pPr>
      <w:r>
        <w:rPr>
          <w:rFonts w:ascii="Arial" w:cs="Arial" w:eastAsia="Arial" w:hAnsi="Arial"/>
          <w:b/>
          <w:bCs/>
          <w:color w:val="7D5A00"/>
          <w:sz w:val="24"/>
          <w:szCs w:val="24"/>
        </w:rPr>
        <w:t xml:space="preserve">IMPORTANT NOTE: All options strategies presume you have done your own risk assessment. PLTR options carry high risk due to extreme valuation and high IV. Always size appropriately.</w:t>
      </w:r>
    </w:p>
    <w:p>
      <w:pPr>
        <w:pStyle w:val="Heading1"/>
        <w:pageBreakBefore/>
        <w:spacing w:after="120" w:before="360"/>
      </w:pPr>
      <w:r>
        <w:rPr>
          <w:rFonts w:ascii="Arial" w:cs="Arial" w:eastAsia="Arial" w:hAnsi="Arial"/>
          <w:b/>
          <w:bCs/>
          <w:color w:val="1F4E79"/>
          <w:sz w:val="32"/>
          <w:szCs w:val="32"/>
        </w:rPr>
        <w:t xml:space="preserve">10. VERDICT</w:t>
      </w:r>
    </w:p>
    <w:p>
      <w:pPr>
        <w:spacing w:after="120" w:before="120"/>
        <w:jc w:val="center"/>
      </w:pPr>
      <w:r>
        <w:rPr>
          <w:rFonts w:ascii="Arial" w:cs="Arial" w:eastAsia="Arial" w:hAnsi="Arial"/>
          <w:b/>
          <w:bCs/>
          <w:color w:val="C00000"/>
          <w:sz w:val="28"/>
          <w:szCs w:val="28"/>
        </w:rPr>
        <w:t xml:space="preserve">RATING: HOLD if already long / AVOID new equity entry at current price</w:t>
      </w:r>
    </w:p>
    <w:p>
      <w:pPr>
        <w:pBdr>
          <w:bottom w:val="single" w:color="2E75B6" w:sz="6" w:space="1"/>
        </w:pBdr>
        <w:spacing w:after="120" w:before="120"/>
      </w:pPr>
      <w:r>
        <w:t xml:space="preserve"/>
      </w:r>
    </w:p>
    <w:p>
      <w:pPr>
        <w:spacing w:after="60" w:before="60"/>
      </w:pPr>
      <w:r>
        <w:t xml:space="preserve"/>
      </w:r>
    </w:p>
    <w:p>
      <w:pPr>
        <w:spacing w:after="60" w:before="60"/>
      </w:pPr>
      <w:r>
        <w:rPr>
          <w:rFonts w:ascii="Arial" w:cs="Arial" w:eastAsia="Arial" w:hAnsi="Arial"/>
          <w:sz w:val="24"/>
          <w:szCs w:val="24"/>
        </w:rPr>
        <w:t xml:space="preserve">The fundamental business is extraordinary — Rule of 40 of 145, 85% revenue growth, $8B cash, debt-free, 60% adj. operating margin. By every fundamental measure except valuation, PLTR is one of the best businesses in public markets today.</w:t>
      </w:r>
    </w:p>
    <w:p>
      <w:pPr>
        <w:spacing w:after="60" w:before="60"/>
      </w:pPr>
      <w:r>
        <w:t xml:space="preserve"/>
      </w:r>
    </w:p>
    <w:p>
      <w:pPr>
        <w:spacing w:after="60" w:before="60"/>
      </w:pPr>
      <w:r>
        <w:rPr>
          <w:rFonts w:ascii="Arial" w:cs="Arial" w:eastAsia="Arial" w:hAnsi="Arial"/>
          <w:sz w:val="24"/>
          <w:szCs w:val="24"/>
        </w:rPr>
        <w:t xml:space="preserve">The problem is entirely valuation. At $141.51, the market has priced in a scenario that even our most optimistic DCF cannot justify. The stock trades at 81% above our bull-case intrinsic value of $78.07. This means investors are paying a premium on top of a premium — pricing in not just continued extraordinary growth, but the belief that this extraordinary growth will sustain at hyper-scale for a decade.</w:t>
      </w:r>
    </w:p>
    <w:p>
      <w:pPr>
        <w:spacing w:after="60" w:before="60"/>
      </w:pPr>
      <w:r>
        <w:t xml:space="preserve"/>
      </w:r>
    </w:p>
    <w:p>
      <w:pPr>
        <w:spacing w:after="60" w:before="160"/>
      </w:pPr>
      <w:r>
        <w:rPr>
          <w:rFonts w:ascii="Arial" w:cs="Arial" w:eastAsia="Arial" w:hAnsi="Arial"/>
          <w:b/>
          <w:bCs/>
          <w:sz w:val="24"/>
          <w:szCs w:val="24"/>
        </w:rPr>
        <w:t xml:space="preserve">For Current Holders</w:t>
      </w:r>
    </w:p>
    <w:p>
      <w:pPr>
        <w:spacing w:after="60" w:before="60"/>
      </w:pPr>
      <w:r>
        <w:rPr>
          <w:rFonts w:ascii="Arial" w:cs="Arial" w:eastAsia="Arial" w:hAnsi="Arial"/>
          <w:sz w:val="24"/>
          <w:szCs w:val="24"/>
        </w:rPr>
        <w:t xml:space="preserve">Maintain position with covered calls to generate income and reduce cost basis. Consider adding a protective put position if cost basis is above $100.</w:t>
      </w:r>
    </w:p>
    <w:p>
      <w:pPr>
        <w:spacing w:after="60" w:before="60"/>
      </w:pPr>
      <w:r>
        <w:t xml:space="preserve"/>
      </w:r>
    </w:p>
    <w:p>
      <w:pPr>
        <w:spacing w:after="60" w:before="160"/>
      </w:pPr>
      <w:r>
        <w:rPr>
          <w:rFonts w:ascii="Arial" w:cs="Arial" w:eastAsia="Arial" w:hAnsi="Arial"/>
          <w:b/>
          <w:bCs/>
          <w:sz w:val="24"/>
          <w:szCs w:val="24"/>
        </w:rPr>
        <w:t xml:space="preserve">For New Investors</w:t>
      </w:r>
    </w:p>
    <w:p>
      <w:pPr>
        <w:spacing w:after="60" w:before="60"/>
      </w:pPr>
      <w:r>
        <w:rPr>
          <w:rFonts w:ascii="Arial" w:cs="Arial" w:eastAsia="Arial" w:hAnsi="Arial"/>
          <w:sz w:val="24"/>
          <w:szCs w:val="24"/>
        </w:rPr>
        <w:t xml:space="preserve">Wait for either (a) a significant price correction to the $90–110 range (which would bring the stock closer to bull-case DCF territory) or use cash-secured puts to build a position at better prices. The business deserves to be owned — just not at this price.</w:t>
      </w:r>
    </w:p>
    <w:p>
      <w:pPr>
        <w:spacing w:after="60" w:before="60"/>
      </w:pPr>
      <w:r>
        <w:t xml:space="preserve"/>
      </w:r>
    </w:p>
    <w:p>
      <w:pPr>
        <w:spacing w:after="60" w:before="60"/>
      </w:pPr>
      <w:r>
        <w:rPr>
          <w:rFonts w:ascii="Arial" w:cs="Arial" w:eastAsia="Arial" w:hAnsi="Arial"/>
          <w:sz w:val="24"/>
          <w:szCs w:val="24"/>
        </w:rPr>
        <w:t xml:space="preserve">The options strategy (covered calls + cash-secured puts) allows you to engage with this world-class business while managing the valuation risk intelligently.</w:t>
      </w:r>
    </w:p>
    <w:p>
      <w:pPr>
        <w:pBdr>
          <w:bottom w:val="single" w:color="2E75B6" w:sz="6" w:space="1"/>
        </w:pBdr>
        <w:spacing w:after="120" w:before="120"/>
      </w:pPr>
      <w:r>
        <w:t xml:space="preserve"/>
      </w:r>
    </w:p>
    <w:p>
      <w:pPr>
        <w:spacing w:after="60" w:before="60"/>
      </w:pPr>
      <w:r>
        <w:t xml:space="preserve"/>
      </w:r>
    </w:p>
    <w:p>
      <w:pPr>
        <w:spacing w:after="80" w:before="80"/>
      </w:pPr>
      <w:r>
        <w:rPr>
          <w:rFonts w:ascii="Arial" w:cs="Arial" w:eastAsia="Arial" w:hAnsi="Arial"/>
          <w:i/>
          <w:iCs/>
          <w:color w:val="666666"/>
          <w:sz w:val="18"/>
          <w:szCs w:val="18"/>
        </w:rPr>
        <w:t xml:space="preserve">Sources: Palantir Q1 2026 10-Q (SEC EDGAR, May 5, 2026), Palantir Q1 2026 Earnings Press Release (8-K, May 4, 2026), Day One Options Trading Journal entries (April 20, May 1, May 14, 2026). 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Arial" w:cs="Arial" w:eastAsia="Arial" w:hAnsi="Arial"/>
        <w:b/>
        <w:bCs/>
        <w:color w:val="1F4E79"/>
        <w:sz w:val="18"/>
        <w:szCs w:val="18"/>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pltr_char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2026-06-05T18:41:20.497Z</dcterms:created>
  <dcterms:modified xsi:type="dcterms:W3CDTF">2026-06-05T18:41:20.497Z</dcterms:modified>
</cp:coreProperties>
</file>

<file path=docProps/custom.xml><?xml version="1.0" encoding="utf-8"?>
<Properties xmlns="http://schemas.openxmlformats.org/officeDocument/2006/custom-properties" xmlns:vt="http://schemas.openxmlformats.org/officeDocument/2006/docPropsVTypes"/>
</file>