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PALANTIR TECHNOLOGIES ($PLTR)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INVESTMENT MEMORANDUM — Q2 2026 EARNINGS UPDATE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August 3, 2026  |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Analyst: </w:t>
      </w:r>
      <w:r>
        <w:rPr>
          <w:rFonts w:ascii="Arial" w:cs="Arial" w:eastAsia="Arial" w:hAnsi="Arial"/>
          <w:sz w:val="24"/>
          <w:szCs w:val="24"/>
        </w:rPr>
        <w:t xml:space="preserve">Ed  |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Rating: HOLD existing shares / AVOID new equity entry at market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Update of: </w:t>
      </w:r>
      <w:r>
        <w:rPr>
          <w:rFonts w:ascii="Arial" w:cs="Arial" w:eastAsia="Arial" w:hAnsi="Arial"/>
          <w:sz w:val="24"/>
          <w:szCs w:val="24"/>
        </w:rPr>
        <w:t xml:space="preserve">June 5, 2026 memo. Only changed sections rewritten; model is authoritative for all valuation figures.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INVESTMENT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Q2 2026 (reported after close today) was another blowout: revenue $1.94B (+93% YoY) vs. guidance of $1.80B, US commercial +149%, adjusted EPS $0.41 vs. $0.34 consensus, and FY2026 revenue guidance raised 6.5% to $8.15B (+82% YoY). The stock jumped ~10% after hours to ~$138. The business keeps outrunning even aggressive expectations — and the valuation still prices in more.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Market-Based Scenario Table (forward EV/Revenue)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300"/>
        <w:gridCol w:w="1600"/>
        <w:gridCol w:w="1600"/>
      </w:tblGrid>
      <w:tr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Drivers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× Multiple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Implied Price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vs. AH $137.88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decelerates to 40–45% by late FY2027; US commercial cools; multiple compresses from ~43x to 15x forward revenue.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$12.0B × 15x ≈ $180B EV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$68 – $76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~48%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FY2026 hits raised $8.15B guide; FY2027 grows ~62% to ~$13.2B; multiple compresses to ~20–24x as growth normalizes.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$13.2B × 22x ≈ $291B EV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$110 – $120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~16%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AIP momentum sustains; FY2027 ~$14B (+72%); NDR holds &gt;150%; market keeps a 28–32x forward multiple on category-of-one metrics.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$14.0B × 30x ≈ $420B EV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$158 – $172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~15–25%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market-multiple approach reflects pricing behavior. DCF intrinsic values (bull $88.41 / base $56.97 / bear $34.18 — single 13% WACC) are in Section 7. The after-hours price sits 56% above even the bull-case DCF.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BUSINESS SNAPSHOT — Q2 2026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 2026 Key Stats (quarter ended June 30,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Revenue: $1,940M (+93% YoY, +19% QoQ) — beat guidance of $1,797–1,801M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GAAP operating income: $912M (47% margin); Adjusted operating income: $1,190M (62% margin)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GAAP net income: $1.06B; GAAP EPS $0.41; Adjusted EPS $0.41 (consensus $0.34)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Adjusted FCF: $1.22B (63% margin); Cash + treasuries $9.2B, zero debt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Rule of 40: 155 (93% growth + 62% adj. op margin) — new company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Total customers: 1,049 (+24% YoY); Net dollar retention: 157%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Revenue Segments — Q2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 Revenue: $1,570M (+115% YoY) — 81% of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 Commercial: $764M (+149% YoY); record quarterly US comm TCV of $2.13B (+153%)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 Government: $809M (+90% YoY)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International: ~$370M — still the laggard (~19% of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 commercial remaining deal value: $6.24B (+124% YoY, +27% QoQ); total TCV closed $3.37B; 220 deals ≥$1M, 98 ≥$5M, 73 ≥$10M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FY2026 Guidance (raised August 3,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Revenue: $8,150–8,158M (+82% YoY) — raised from $7,650–7,662M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 Commercial revenue: &gt;$3,424M (≥134% YoY) — raised from &gt;$3,224M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Adjusted operating income: $4,889–4,897M (~60% margin) — raised from $4,440–4,452M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Adjusted FCF: $4.5–4.7B — raised from $4.2–4.4B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Q3 2026: revenue $2,160–2,164M; adj. operating income $1,292–1,296M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WHAT CHANGED — RETROSPECTIVE SIGNAL CHECK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+6.5% full-year revenue guidance revision crosses our ≥5% material-change threshold, triggering this check: could we have seen it coming?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a) The bookings data said yes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Q1 2026 already showed remaining deal value growing faster than revenue (US commercial RDV +112% YoY vs. revenue +85%) with NDR above 150%. When bookings outrun recognized revenue by that margin, the next several quarters are largely pre-sold, and guidance raises follow mechanically. Our own May research note flagged exactly this: 'track the RPO-to-revenue ratio — if RPO grows faster than revenue, the pipeline is accelerating even when the current quarter looks flat.' Q2 confirmed it: RDV accelerated again (+124%, +27% QoQ).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b) The serial-raiser pattern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PLTR has now raised full-year guidance four consecutive quarters: Q3 2025 (raise to 53% growth), Q4 2025 (FY26 guide 15% above consensus), Q1 2026 (+10pp raise to 71%), and Q2 2026 (+6.5% to 82%). Our June model used the then-current 71% guide as the Year-1 base — mechanically correct, but for a serial raiser the guidance base is systematically conservative. Lesson recorded: for companies with 3+ consecutive raises and bookings growth exceeding revenue growth, stress the Year-1 base upward in the bull case.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c) Did it change the conclusion?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No. The June memo's verdict (extraordinary business, unjustifiable price) survives the beat: even after raising every projection and adding $1.2B of cash to the balance sheet, the after-hours price of ~$138 sits 56% above the new bull-case DCF of $88.41. Beats of this size close the valuation gap slower than the multiple expands on the news.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MANAGEMENT &amp; GOVERNANCE (SCORED)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Who runs Palantir: Alex Karp (co-founder, CEO since 2003 — 23 years), Peter Thiel (co-founder, chairman), Stephen Cohen (co-founder, president). Multi-class share structure (Class A/B/F); the Class F trust mechanism preserves founder voting control regardless of economic ownership.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6200"/>
      </w:tblGrid>
      <w:tr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6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track record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Eight consecutive beats; FY26 guidance raised +10pp in Q1 and +6.5% again in Q2; 93% growth delivered at 62% adj. op margin.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 / tenure / skin in game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Founder-operator 23 years; all three co-founders still in leadership; large founder economic stakes.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allocation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$9.2B cash, zero debt, no dilutive M&amp;A; offset by SBC ~12% of revenue and persistent share-count creep (~2,585M diluted).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Insider activity (Form 4)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~$433M combined insider sales in the 3 months before Q1'26 earnings (Thiel ~$290M over 6 mo, Karp ~$132M across 32 transactions, Cohen ~$100M); no open-market buys by any insider in 12 months.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&amp; alignment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F super-voting entrenchment and combined founder power; partially offset by elite execution (founder-led hypergrowth adaptation).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Composite: 30 / 50 — Neutral (acceptable, not a differentiator). </w:t>
      </w:r>
      <w:r>
        <w:rPr>
          <w:rFonts w:ascii="Arial" w:cs="Arial" w:eastAsia="Arial" w:hAnsi="Arial"/>
          <w:sz w:val="24"/>
          <w:szCs w:val="24"/>
        </w:rPr>
        <w:t xml:space="preserve">Mandatory flag: the 0 on insider activity stands out regardless of composite. Insiders are excellent operators who keep selling the stock at these prices — treat their behavior, not their commentary, as the tell on valuation.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BULL CASE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a) AIP is compounding, not decelerating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Growth accelerated again: 85% in Q1 → 93% in Q2, at nearly $2B/quarter scale. US commercial grew 149% with a record $2.13B quarterly TCV. The 'law of large numbers' argument has now been wrong for six consecutive quarters.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b) The next several quarters are already sold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 commercial remaining deal value of $6.24B (+124%) and NDR of 157% mean FY2027 growth is substantially pre-contracted. Even the raised 82% FY2026 guide looks beatable on the H1 run-rate — H2 needs only ~$4.6B against a Q3 guide alone of $2.16B.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c) Profitability is scaling with growth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Adjusted operating margin hit 62% and FCF margin 63% — both records — while revenue nearly doubled. Rule of 40 of 155 is the highest we have measured for any company at this scale. $9.2B of cash, no debt.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d) Government re-acceleration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 government grew 90% (vs. 84% in Q1), confirming the modernization cycle has durable legs alongside the commercial S-curve.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BEAR CASE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a) Valuation remains unjustifiable by cash flows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 ~$138 after hours (~$356B market cap, ~$347B EV), the stock trades at 42.6x this year's raised revenue guidance and 26.3x our base-case FY2027 revenue. Our bull-case DCF — 72% growth next year decelerating to 42% by FY2030, 62% FCF margins, single 13% WACC — produces $88.41. The market price embeds a scenario beyond our bull case, sustained for a decade, with no execution stumbles.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b) Customer concentration persists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1,049 customers for a $356B company remains remarkably thin. 73 deals ≥$10M in one quarter is extraordinary — and cuts both ways: a handful of mega-contracts drives a disproportionate share of bookings.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c) Insiders keep selling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See Section 4: ~$433M of insider sales into the Q1 print, zero open-market buys. The people with the most information are consistent net sellers at these levels.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d) International remains left behind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International is now ~19% of revenue and decelerating relative to the US. If the AI advantage is primarily a US procurement-and-enterprise story, TAM is smaller than the global-platform thesis implies. EU regulatory friction compounds it.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DCF VALUATION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Methodology note (changed from June 5 memo): </w:t>
      </w:r>
      <w:r>
        <w:rPr>
          <w:rFonts w:ascii="Arial" w:cs="Arial" w:eastAsia="Arial" w:hAnsi="Arial"/>
          <w:sz w:val="24"/>
          <w:szCs w:val="24"/>
        </w:rPr>
        <w:t xml:space="preserve">this update applies a SINGLE 13% WACC across all three scenarios, per our standing rule — the June model used 12%/13%/15%, which artificially widened the bull/bear spread by compounding execution risk on top of cash-flow risk. Scenario risk now lives only in the revenue, margin, and terminal assumptions.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900"/>
        <w:gridCol w:w="1900"/>
      </w:tblGrid>
      <w:tr>
        <w:tc>
          <w:tcPr>
            <w:tcW w:type="dxa" w:w="2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Bull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Bear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rate (single WACC)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growth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FY2026 rev (guidance base)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$8,154M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$8,154M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$8,154M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FY2027 growth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FY2028 growth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FY2029 growth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FY2030 growth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FY2030 revenue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$49.0B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$34.6B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$24.5B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FCF margin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Equity value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$228.5B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$147.3B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$88.4B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Intrinsic price/share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$88.41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$56.97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$34.18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 price $137.88 premium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+56%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+142%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Growth table uses the raised $8,154M FY2026 guidance as the Year-1 base ('growth from $8,154M guidance base'). Cash $9.2B; diluted shares 2,585M (implied from Q2 GAAP EPS). Values reconcile to the Excel model, which is authoritative.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Versus June: base intrinsic rose from $43.64 to $56.97 (higher guidance base, faster out-year growth, +$1.2B cash) and bear rose from $20.50 to $34.18 (single-WACC fix + guidance). The gap to market did not close: the price rose faster than intrinsic value.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RULE OF 40 ANALYSIS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Q2 2026 score: 155 (93% growth + 62% adj. op margin) — up from 145 in Q1 and 106 for FY2025. Using FCF margin as the profitability leg: 156. These are the highest sustained scores we have recorded; &gt;40 is healthy, &gt;60 exceptional, &gt;100 nearly unprecedented.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Repeatability: H2 comps get harder (Q3 guide implies ~83% growth — still absurd, but the deceleration has mathematically begun). We continue to expect normalization toward 90–110 by FY2027 (bull 115 / base 95 / bear 70) — extraordinary by any standard, but below today's peak. The valuation question is not whether the score stays elite; it is what multiple an elite-but-normalizing score deserves.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PEER COMPARABLES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800"/>
        <w:gridCol w:w="2000"/>
      </w:tblGrid>
      <w:tr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Fwd Rev Growth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FCF Margin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of 40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Fwd EV/Sales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PLTR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145+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42.6x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~7x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~6x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~10x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DDOG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~13x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CRWD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~19x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WDAY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Peer figures approximate (August 2026). PLTR trades at ~6x ServiceNow's forward multiple. The category-of-one premium is real — and it demands flawless execution for years to hold.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TECHNICAL SETUP</w:t>
      </w:r>
    </w:p>
    <w:p>
      <w:pPr>
        <w:spacing w:after="60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$PLTR Daily Chart — SMA 20/50/200 | Source: Finviz.com | August 3, 2026 (pre-earnings close)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0"/>
      </w:tblGrid>
      <w:t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/ Interpretation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/ After-hours</w:t>
            </w:r>
          </w:p>
        </w:tc>
        <w:tc>
          <w:tcPr>
            <w:tcW w:type="dxa" w:w="8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$125.65 close (+2.1%) → $137.88 after hours (+9.7% on earnings)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52-Week Range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$106.37 – $207.52 (AH price still ~34% below the high)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200-Day SMA</w:t>
            </w:r>
          </w:p>
        </w:tc>
        <w:tc>
          <w:tcPr>
            <w:tcW w:type="dxa" w:w="8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~$153.72 — first major overhead resistance; stock was below it pre-print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 (14, pre-earnings)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46.5 — neutral going in; the gap resets momentum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supports</w:t>
            </w:r>
          </w:p>
        </w:tc>
        <w:tc>
          <w:tcPr>
            <w:tcW w:type="dxa" w:w="8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$126 (today's close / gap fill) | $117–120 (July consolidation) | $106.37 (52-wk low)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resistance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$140 | $154 (200-day SMA) | $170 | $207.52 (52-wk high)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earnings gap likely puts price between the July range and the 200-day SMA. The $154 level is the technical decision point: acceptance above it would repair the daily downtrend that has been in force since the November 2025 peak; rejection there keeps the lower-high sequence intact despite the fundamental beat.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OPTIONS STRATEGY (overlay on existing long shares)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Context: post-earnings IV crush will be underway tomorrow; premium-selling structures are favored over premium-buying. All strikes referenced to the ~$138 after-hours price — verify the live chain before entering.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1: Covered Call — income at resistance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Sell calls at the $155–160 strike, 6–8 weeks out, targeting ~$4–7/contract. The strike zone deliberately brackets the 200-day SMA ($154), where rallies are most likely to stall. Sell into residual elevated IV early rather than after the crush completes. Risk: shares called away through $160 on a sustained breakout.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2: Protective Put — for basis above $100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Jan 2027 $115–120 puts (~$10–14). The price sits 56% above bull-case DCF; a de-rating to the $90–110 zone requires no business deterioration at all — only multiple normalization. Insurance is rational for large positions.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3: Collar — lock the pop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Combine the two: sell the $160 call, buy the $115 put, Oct–Nov expiries, near zero net cost. Banks today's +10% through the next earnings cycle at the cost of capped upside.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4: Cash-Secured Put — the only sane add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adding exposure: sell $110–115 puts 8–10 weeks out (~$5–8). Assignment basis of ~$104–108 sits near the 52-week low and materially closer to DCF territory. Do not chase the gap with market buys.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premium estimates are pre-verification and will move with the IV crush. PLTR options carry high risk; size appropriately. This is not financial advice.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VERDICT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RATING: HOLD existing shares / AVOID new equity entry at market (unchanged from June 5).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Q2 2026 is one of the best quarters any software company has ever printed: 93% growth at 62% adjusted margins, a 155 Rule of 40, $1.22B of quarterly FCF, and a fourth consecutive guidance raise. Every fundamental line of the June thesis got stronger. Our base-case intrinsic value rose 31% to $56.97 and the bull case to $88.41.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And the stock is still not cheap enough to buy. At ~$138 after hours, the price sits 56% above the bull-case DCF and 2.4x the base case. The June logic holds precisely because it was never about the business: extraordinary company, extreme price. Management — who have executed flawlessly — remain heavy net sellers of the stock at these levels (Section 4), which is the most honest valuation signal available.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 current holders (Ed: long shares)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Hold the core position — the fundamental momentum is real and accelerating.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Sell covered calls into the post-earnings IV at $155–160 (200-day SMA resistance) to monetize the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basis &gt;$100 or the position is oversized, add the Jan 2027 protective put / collar.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 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market buys at ~$138. Use $110–115 cash-secured puts, or wait for the $90–110 zone that brings price within range of bull-case intrinsic value.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Sources: Palantir Q2 2026 earnings press release (Aug 3, 2026); Q1 2026 10-Q (SEC EDGAR); pulse2.com, investing.com, stockanalysis.com, CNBC (Aug 3, 2026); prior memo June 5, 2026; Open Brain prior-context notes (Apr–May 2026). Day One journal search was unavailable this run (connection timeout). This memo is for informational purposes only and does not constitute financial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INVESTMENT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1efdab634135263338a6a7e6a1fd082e0ea4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2026-08-03T21:00:04.981Z</dcterms:created>
  <dcterms:modified xsi:type="dcterms:W3CDTF">2026-08-03T21:00:04.990Z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