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004CFC3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41F5CD0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 w:rsidR="00444441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444441">
            <w:rPr>
              <w:rFonts w:ascii="Times New Roman" w:hAnsi="Times New Roman" w:cs="Times New Roman"/>
              <w:bCs/>
              <w:szCs w:val="24"/>
            </w:rPr>
            <w:t xml:space="preserve">Class of 2015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4AE2B7DD" w14:textId="77777777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 Frontend Redesign</w:t>
      </w:r>
    </w:p>
    <w:p w14:paraId="76B47538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market search for a new outsourced engineering team and oversaw knowledge handover between the old and new teams. </w:t>
      </w:r>
    </w:p>
    <w:p w14:paraId="0401E0AE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Led a team of 5 engineers to completely redesign the frontend architecture and design of Scale Studio, a startup 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benchmarking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and data analysis tool. 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Redefined user workflows,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modernized frontend design elements, and updated architecture from Angular to React. </w:t>
      </w:r>
    </w:p>
    <w:p w14:paraId="57152616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8 user interviews to understand major pain points and areas of improvement in the old design. </w:t>
      </w:r>
    </w:p>
    <w:p w14:paraId="616300A4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MVP.</w:t>
      </w:r>
    </w:p>
    <w:p w14:paraId="2E1C8DF0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187DFB6B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3422F96F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3CC7EEB1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Coded initial version of a dynamic 2x2 web tool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PMed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external dev team to productize the tool on Scale’s blog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4225E5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(Facebook team and business partners)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Analyzed statistical </w:t>
      </w:r>
      <w:proofErr w:type="spellStart"/>
      <w:r>
        <w:rPr>
          <w:sz w:val="20"/>
          <w:szCs w:val="21"/>
        </w:rPr>
        <w:t>descriptives</w:t>
      </w:r>
      <w:proofErr w:type="spellEnd"/>
      <w:r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29A5B46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 xml:space="preserve"> &amp; INTERESTS</w:t>
      </w:r>
    </w:p>
    <w:p w14:paraId="5922A191" w14:textId="111A5B4F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56ED1F8C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 w:rsidR="00444441">
        <w:rPr>
          <w:sz w:val="20"/>
        </w:rPr>
        <w:t>eSports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3602" w14:textId="77777777" w:rsidR="0025466E" w:rsidRDefault="0025466E">
      <w:pPr>
        <w:spacing w:line="240" w:lineRule="auto"/>
      </w:pPr>
      <w:r>
        <w:separator/>
      </w:r>
    </w:p>
  </w:endnote>
  <w:endnote w:type="continuationSeparator" w:id="0">
    <w:p w14:paraId="3776111B" w14:textId="77777777" w:rsidR="0025466E" w:rsidRDefault="00254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06AD" w14:textId="77777777" w:rsidR="0025466E" w:rsidRDefault="0025466E">
      <w:pPr>
        <w:spacing w:line="240" w:lineRule="auto"/>
      </w:pPr>
      <w:r>
        <w:separator/>
      </w:r>
    </w:p>
  </w:footnote>
  <w:footnote w:type="continuationSeparator" w:id="0">
    <w:p w14:paraId="3C099C89" w14:textId="77777777" w:rsidR="0025466E" w:rsidRDefault="00254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66E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AD5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4D7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428DD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Danalache, Eduard</cp:lastModifiedBy>
  <cp:revision>2</cp:revision>
  <cp:lastPrinted>2022-10-04T02:18:00Z</cp:lastPrinted>
  <dcterms:created xsi:type="dcterms:W3CDTF">2022-10-04T05:08:00Z</dcterms:created>
  <dcterms:modified xsi:type="dcterms:W3CDTF">2022-10-04T05:08:00Z</dcterms:modified>
  <cp:category/>
</cp:coreProperties>
</file>