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Risk Department Requirements: New Secure Data Room System</w:t>
      </w:r>
    </w:p>
    <w:p>
      <w:pPr>
        <w:pStyle w:val="Heading2"/>
      </w:pPr>
      <w:r>
        <w:t xml:space="preserve">Background and scope</w:t>
      </w:r>
    </w:p>
    <w:p>
      <w:r>
        <w:t xml:space="preserve">The Risk function reviews all third-party platforms that handle sensitive corporate, customer or transactional data. The data room platform is in scope for our supplier risk programme and is rated Tier 1 — meaning the highest assurance level applies. This document sets out Risk's mandatory and recommended controls for the replacement platform, alongside contractual safeguards that must be present in the engagement.</w:t>
      </w:r>
    </w:p>
    <w:p>
      <w:r>
        <w:t xml:space="preserve">We have particular concerns following last year's near-miss incident with the current vendor, where a misconfigured permission allowed unauthorised access to a deal workspace for 11 hours before being remediated. This incident shapes several of the requirements below.</w:t>
      </w:r>
    </w:p>
    <w:p>
      <w:pPr>
        <w:pStyle w:val="Heading2"/>
      </w:pPr>
      <w:r>
        <w:t xml:space="preserve">Information security controls</w:t>
      </w:r>
    </w:p>
    <w:p>
      <w:r>
        <w:t xml:space="preserve">Authentication, authorisation and access:</w:t>
      </w:r>
    </w:p>
    <w:p>
      <w:pPr>
        <w:pStyle w:val="ListBullet"/>
      </w:pPr>
      <w:r>
        <w:t xml:space="preserve">• Phishing-resistant multi-factor authentication is mandatory for all users. FIDO2 hardware keys or platform authenticators are the only acceptable factors. SMS, email OTP and TOTP-based MFA must not be enabled, even as fallback options.</w:t>
      </w:r>
    </w:p>
    <w:p>
      <w:pPr>
        <w:pStyle w:val="ListBullet"/>
      </w:pPr>
      <w:r>
        <w:t xml:space="preserve">• The platform must enforce a maximum session length of 8 hours regardless of activity, with idle timeout of 15 minutes.</w:t>
      </w:r>
    </w:p>
    <w:p>
      <w:pPr>
        <w:pStyle w:val="ListBullet"/>
      </w:pPr>
      <w:r>
        <w:t xml:space="preserve">• Privileged access (admin, workspace manager) must require step-up authentication on every session and must be re-authenticated on any sensitive action (permission change, bulk download, deletion).</w:t>
      </w:r>
    </w:p>
    <w:p>
      <w:pPr>
        <w:pStyle w:val="ListBullet"/>
      </w:pPr>
      <w:r>
        <w:t xml:space="preserve">• Just-in-time elevation must be available so that admin rights can be granted for a defined window with full audit trail.</w:t>
      </w:r>
    </w:p>
    <w:p>
      <w:pPr>
        <w:pStyle w:val="ListBullet"/>
      </w:pPr>
      <w:r>
        <w:t xml:space="preserve">• The platform must support conditional access policies based on device posture (managed vs unmanaged), location (geofencing), and risk score from our identity provider.</w:t>
      </w:r>
    </w:p>
    <w:p>
      <w:pPr>
        <w:pStyle w:val="Heading2"/>
      </w:pPr>
      <w:r>
        <w:t xml:space="preserve">Penetration testing and security assurance</w:t>
      </w:r>
    </w:p>
    <w:p>
      <w:r>
        <w:t xml:space="preserve">The current vendor's annual pen test cycle is insufficient given the sensitivity of the data:</w:t>
      </w:r>
    </w:p>
    <w:p>
      <w:pPr>
        <w:pStyle w:val="ListBullet"/>
      </w:pPr>
      <w:r>
        <w:t xml:space="preserve">• The vendor must commission an independent third-party penetration test at minimum every quarter (i.e. four full assessments per calendar year). An annual frequency is not acceptable.</w:t>
      </w:r>
    </w:p>
    <w:p>
      <w:pPr>
        <w:pStyle w:val="ListBullet"/>
      </w:pPr>
      <w:r>
        <w:t xml:space="preserve">• Executive summaries of every pen test must be made available to us under NDA within 30 days of the test report.</w:t>
      </w:r>
    </w:p>
    <w:p>
      <w:pPr>
        <w:pStyle w:val="ListBullet"/>
      </w:pPr>
      <w:r>
        <w:t xml:space="preserve">• Critical and high-severity findings must be remediated within agreed SLAs (30 days for critical, 60 days for high) with closure evidence shared with us.</w:t>
      </w:r>
    </w:p>
    <w:p>
      <w:pPr>
        <w:pStyle w:val="ListBullet"/>
      </w:pPr>
      <w:r>
        <w:t xml:space="preserve">• The vendor must operate a public bug bounty programme or vulnerability disclosure policy.</w:t>
      </w:r>
    </w:p>
    <w:p>
      <w:pPr>
        <w:pStyle w:val="ListBullet"/>
      </w:pPr>
      <w:r>
        <w:t xml:space="preserve">• Annual SOC 2 Type II report and ISO 27001 certificate are required, but additionally we require ISAE 3402 Type II for any vendor handling financial data on our behalf.</w:t>
      </w:r>
    </w:p>
    <w:p>
      <w:pPr>
        <w:pStyle w:val="Heading2"/>
      </w:pPr>
      <w:r>
        <w:t xml:space="preserve">Data residency and sovereignty</w:t>
      </w:r>
    </w:p>
    <w:p>
      <w:r>
        <w:t xml:space="preserve">Risk's position on data residency is the most stringent of any department contributing to this RFP:</w:t>
      </w:r>
    </w:p>
    <w:p>
      <w:pPr>
        <w:pStyle w:val="ListBullet"/>
      </w:pPr>
      <w:r>
        <w:t xml:space="preserve">• All customer data must reside in the United Kingdom. Storage, processing, backup and DR copies must all be UK-only. EU/EEA hosting is not acceptable.</w:t>
      </w:r>
    </w:p>
    <w:p>
      <w:pPr>
        <w:pStyle w:val="ListBullet"/>
      </w:pPr>
      <w:r>
        <w:t xml:space="preserve">• The vendor must provide a written attestation, signed by a named officer, that no data leaves UK jurisdiction at any point in the data lifecycle.</w:t>
      </w:r>
    </w:p>
    <w:p>
      <w:pPr>
        <w:pStyle w:val="ListBullet"/>
      </w:pPr>
      <w:r>
        <w:t xml:space="preserve">• Subprocessors must also operate within the UK. Cross-border subprocessor relationships are not permitted for this engagement, even where they are otherwise GDPR-adequate.</w:t>
      </w:r>
    </w:p>
    <w:p>
      <w:pPr>
        <w:pStyle w:val="ListBullet"/>
      </w:pPr>
      <w:r>
        <w:t xml:space="preserve">• The vendor must immediately notify us of any proposed change to the data location or subprocessor list, with a minimum of 60 days for us to evaluate before the change takes effect.</w:t>
      </w:r>
    </w:p>
    <w:p>
      <w:pPr>
        <w:pStyle w:val="Heading2"/>
      </w:pPr>
      <w:r>
        <w:t xml:space="preserve">Tenancy and isolation</w:t>
      </w:r>
    </w:p>
    <w:p>
      <w:pPr>
        <w:pStyle w:val="ListBullet"/>
      </w:pPr>
      <w:r>
        <w:t xml:space="preserve">• The platform must be deployed on a single-tenant or dedicated-instance basis. Shared multi-tenant infrastructure is not acceptable for Tier 1 data, even with logical isolation.</w:t>
      </w:r>
    </w:p>
    <w:p>
      <w:pPr>
        <w:pStyle w:val="ListBullet"/>
      </w:pPr>
      <w:r>
        <w:t xml:space="preserve">• Underlying compute and storage must not be shared with other customers. Where this is delivered via a hyperscaler (AWS, Azure, GCP), dedicated host or dedicated VPC architecture is required.</w:t>
      </w:r>
    </w:p>
    <w:p>
      <w:pPr>
        <w:pStyle w:val="ListBullet"/>
      </w:pPr>
      <w:r>
        <w:t xml:space="preserve">• The vendor must provide network architecture documentation showing our deployment is isolated from other tenants at the network, compute and storage layers.</w:t>
      </w:r>
    </w:p>
    <w:p>
      <w:pPr>
        <w:pStyle w:val="Heading2"/>
      </w:pPr>
      <w:r>
        <w:t xml:space="preserve">Incident response and breach notification</w:t>
      </w:r>
    </w:p>
    <w:p>
      <w:pPr>
        <w:pStyle w:val="ListBullet"/>
      </w:pPr>
      <w:r>
        <w:t xml:space="preserve">• The vendor must notify us of any actual or suspected security incident affecting our data within 4 hours of discovery. The 72-hour GDPR notification window is not acceptable for our internal escalation process.</w:t>
      </w:r>
    </w:p>
    <w:p>
      <w:pPr>
        <w:pStyle w:val="ListBullet"/>
      </w:pPr>
      <w:r>
        <w:t xml:space="preserve">• A named incident response lead must be available 24/7 during active incidents.</w:t>
      </w:r>
    </w:p>
    <w:p>
      <w:pPr>
        <w:pStyle w:val="ListBullet"/>
      </w:pPr>
      <w:r>
        <w:t xml:space="preserve">• The vendor's incident response plan must be available for review during procurement, and must align with our own playbook for evidence preservation and law enforcement liaison.</w:t>
      </w:r>
    </w:p>
    <w:p>
      <w:pPr>
        <w:pStyle w:val="ListBullet"/>
      </w:pPr>
      <w:r>
        <w:t xml:space="preserve">• Annual joint incident response exercises (tabletop minimum) must be included as a contractual obligation.</w:t>
      </w:r>
    </w:p>
    <w:p>
      <w:pPr>
        <w:pStyle w:val="Heading2"/>
      </w:pPr>
      <w:r>
        <w:t xml:space="preserve">Resilience and continuity</w:t>
      </w:r>
    </w:p>
    <w:p>
      <w:pPr>
        <w:pStyle w:val="ListBullet"/>
      </w:pPr>
      <w:r>
        <w:t xml:space="preserve">• The platform must offer a contractual uptime SLA of 99.95% measured monthly, with service credits for any breach. The current vendor's 99.5% SLA is not acceptable.</w:t>
      </w:r>
    </w:p>
    <w:p>
      <w:pPr>
        <w:pStyle w:val="ListBullet"/>
      </w:pPr>
      <w:r>
        <w:t xml:space="preserve">• Recovery time objective (RTO) must be no greater than 2 hours and recovery point objective (RPO) no greater than 15 minutes for any individual document or workspace.</w:t>
      </w:r>
    </w:p>
    <w:p>
      <w:pPr>
        <w:pStyle w:val="ListBullet"/>
      </w:pPr>
      <w:r>
        <w:t xml:space="preserve">• The vendor must perform documented DR exercises at least twice per year and share the test results with us.</w:t>
      </w:r>
    </w:p>
    <w:p>
      <w:pPr>
        <w:pStyle w:val="ListBullet"/>
      </w:pPr>
      <w:r>
        <w:t xml:space="preserve">• Backups must be immutable for the duration of the retention period and held on infrastructure logically and physically separated from the primary platform.</w:t>
      </w:r>
    </w:p>
    <w:p>
      <w:pPr>
        <w:pStyle w:val="Heading2"/>
      </w:pPr>
      <w:r>
        <w:t xml:space="preserve">Audit rights</w:t>
      </w:r>
    </w:p>
    <w:p>
      <w:r>
        <w:t xml:space="preserve">We require a contractual right to audit, including:</w:t>
      </w:r>
    </w:p>
    <w:p>
      <w:pPr>
        <w:pStyle w:val="ListBullet"/>
      </w:pPr>
      <w:r>
        <w:t xml:space="preserve">• The right to commission an independent on-site audit of the vendor's facilities and controls at least annually, at our discretion. The vendor must support up to 10 person-days of auditor time per year without additional charge.</w:t>
      </w:r>
    </w:p>
    <w:p>
      <w:pPr>
        <w:pStyle w:val="ListBullet"/>
      </w:pPr>
      <w:r>
        <w:t xml:space="preserve">• The right to receive copies of any third-party audit reports on the vendor's environment (SOC 2, ISO 27001, ISAE 3402) on request.</w:t>
      </w:r>
    </w:p>
    <w:p>
      <w:pPr>
        <w:pStyle w:val="ListBullet"/>
      </w:pPr>
      <w:r>
        <w:t xml:space="preserve">• Audit findings raised by us must be remediated to an agreed SLA, with closure evidence furnished to our risk team.</w:t>
      </w:r>
    </w:p>
    <w:p>
      <w:pPr>
        <w:pStyle w:val="Heading2"/>
      </w:pPr>
      <w:r>
        <w:t xml:space="preserve">Insurance and indemnity</w:t>
      </w:r>
    </w:p>
    <w:p>
      <w:pPr>
        <w:pStyle w:val="ListBullet"/>
      </w:pPr>
      <w:r>
        <w:t xml:space="preserve">• The vendor must maintain cyber liability insurance of not less than £25 million per occurrence and in aggregate, naming our group as an additional insured.</w:t>
      </w:r>
    </w:p>
    <w:p>
      <w:pPr>
        <w:pStyle w:val="ListBullet"/>
      </w:pPr>
      <w:r>
        <w:t xml:space="preserve">• The vendor's professional indemnity cover must be at least £10 million.</w:t>
      </w:r>
    </w:p>
    <w:p>
      <w:pPr>
        <w:pStyle w:val="ListBullet"/>
      </w:pPr>
      <w:r>
        <w:t xml:space="preserve">• Certificates of insurance must be provided annually and on any material change to coverage.</w:t>
      </w:r>
    </w:p>
    <w:p>
      <w:pPr>
        <w:pStyle w:val="ListBullet"/>
      </w:pPr>
      <w:r>
        <w:t xml:space="preserve">• Indemnification provisions in the contract must be uncapped for breaches involving personal data, regulatory fines, or wilful misconduct.</w:t>
      </w:r>
    </w:p>
    <w:p>
      <w:pPr>
        <w:pStyle w:val="Heading2"/>
      </w:pPr>
      <w:r>
        <w:t xml:space="preserve">Pain points with the current platform</w:t>
      </w:r>
    </w:p>
    <w:p>
      <w:r>
        <w:t xml:space="preserve">For context, the most significant Risk concerns we have with the current vendor:</w:t>
      </w:r>
    </w:p>
    <w:p>
      <w:pPr>
        <w:pStyle w:val="ListBullet"/>
      </w:pPr>
      <w:r>
        <w:t xml:space="preserve">• Last year's incident — a misconfigured permission gave unauthorised users read access to a live deal workspace for 11 hours. Detection only occurred when a user noticed the unfamiliar names in the activity feed. The vendor's monitoring failed to alert.</w:t>
      </w:r>
    </w:p>
    <w:p>
      <w:pPr>
        <w:pStyle w:val="ListBullet"/>
      </w:pPr>
      <w:r>
        <w:t xml:space="preserve">• The current MFA implementation accepts SMS as a factor. We have repeatedly requested this be disabled and have been refused.</w:t>
      </w:r>
    </w:p>
    <w:p>
      <w:pPr>
        <w:pStyle w:val="ListBullet"/>
      </w:pPr>
      <w:r>
        <w:t xml:space="preserve">• Pen tests are conducted annually and reports are not made available to us, only an executive summary that is light on technical detail.</w:t>
      </w:r>
    </w:p>
    <w:p>
      <w:pPr>
        <w:pStyle w:val="ListBullet"/>
      </w:pPr>
      <w:r>
        <w:t xml:space="preserve">• The current SLA is 99.5% with no meaningful service credits, and we have observed several outages in the last 12 months that exceeded the cumulative outage budget without any commercial recourse.</w:t>
      </w:r>
    </w:p>
    <w:p>
      <w:pPr>
        <w:pStyle w:val="ListBullet"/>
      </w:pPr>
      <w:r>
        <w:t xml:space="preserve">• Subprocessor changes have happened without notice, in breach of the contract, and we discovered them only via the vendor's public trust portal.</w:t>
      </w:r>
    </w:p>
    <w:p>
      <w:pPr>
        <w:pStyle w:val="ListBullet"/>
      </w:pPr>
      <w:r>
        <w:t xml:space="preserve">• The vendor refuses to permit on-site audits, citing customer confidentiality, despite this being a contractual right.</w:t>
      </w:r>
    </w:p>
    <w:p>
      <w:r>
        <w:t xml:space="preserve">This document is the Risk function's input to the joint requirements review. We will provide a separate scoring weighting that reflects the relative importance of these controls during supplier evaluation.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b/>
      <w:sz w:val="36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b/>
      <w:sz w:val="28"/>
    </w:rPr>
  </w:style>
  <w:style w:type="paragraph" w:styleId="ListBullet">
    <w:name w:val="List Bullet"/>
    <w:basedOn w:val="Normal"/>
    <w:pPr>
      <w:spacing w:after="60"/>
      <w:ind w:left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