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Dataflow Project 数据流图项目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4"/>
        </w:rPr>
        <w:t>数据采集填写说明 v1.0（中文翻译版）</w:t>
      </w:r>
    </w:p>
    <w:p/>
    <w:p>
      <w:r>
        <w:rPr>
          <w:rFonts w:ascii="Noto Sans CJK SC" w:hAnsi="Noto Sans CJK SC" w:eastAsia="Noto Sans CJK SC"/>
        </w:rPr>
        <w:t>本说明用于指导 DevOps 填写唯一主数据采集表，并提交证据包。本文只说明如何填写，不要求 DevOps 画图、写报告或整理最终交付物。</w:t>
      </w:r>
    </w:p>
    <w:p>
      <w:pPr>
        <w:pStyle w:val="Heading1"/>
      </w:pPr>
      <w:r>
        <w:t>一、DevOps 只需要填写一份表</w:t>
      </w:r>
    </w:p>
    <w:p>
      <w:r>
        <w:rPr>
          <w:rFonts w:ascii="Noto Sans CJK SC" w:hAnsi="Noto Sans CJK SC" w:eastAsia="Noto Sans CJK SC"/>
        </w:rPr>
        <w:t>DevOps 唯一需要主动填写的文件是：dataflow_main_collection_template_v1.0.xlsx。其他文件均为参考说明、任务映射、数据字典、样例输入或智能体设计契约。</w:t>
      </w:r>
    </w:p>
    <w:p>
      <w:pPr>
        <w:pStyle w:val="Heading1"/>
      </w:pPr>
      <w:r>
        <w:t>二、提交形式</w:t>
      </w:r>
    </w:p>
    <w:p>
      <w:pPr>
        <w:spacing w:before="60" w:after="120"/>
        <w:ind w:left="360"/>
      </w:pPr>
      <w:r>
        <w:rPr>
          <w:rFonts w:ascii="Courier New" w:hAnsi="Courier New" w:eastAsia="Noto Sans CJK SC"/>
          <w:sz w:val="18"/>
        </w:rPr>
        <w:t>数据采集包DCP_v1.0/</w:t>
        <w:br/>
        <w:t xml:space="preserve">  dataflow_main_collection_template_v1.0.xlsx</w:t>
        <w:br/>
        <w:t xml:space="preserve">  原始导出/</w:t>
        <w:br/>
        <w:t xml:space="preserve">    gcloud实例导出.csv</w:t>
        <w:br/>
        <w:t xml:space="preserve">    gcloud防火墙导出.csv</w:t>
        <w:br/>
        <w:t xml:space="preserve">    gcloud_iam_policy.json</w:t>
        <w:br/>
        <w:t xml:space="preserve">  证据/</w:t>
        <w:br/>
        <w:t xml:space="preserve">    截图/</w:t>
        <w:br/>
        <w:t xml:space="preserve">    配置样例/</w:t>
        <w:br/>
        <w:t xml:space="preserve">    命令输出/</w:t>
        <w:br/>
        <w:t xml:space="preserve">    仪表盘链接/</w:t>
        <w:br/>
        <w:t xml:space="preserve">  说明/</w:t>
        <w:br/>
        <w:t xml:space="preserve">    待确认事项.md</w:t>
        <w:br/>
        <w:t xml:space="preserve">    已知例外.md</w:t>
      </w:r>
    </w:p>
    <w:p>
      <w:pPr>
        <w:pStyle w:val="Heading1"/>
      </w:pPr>
      <w:r>
        <w:t>三、填写规则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不要修改工作表名称，不要删除列。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每条关键记录都需要填写证据ID，并在 14_证据索引 中登记证据。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无法确认的信息不要猜测，确认状态填写“待确认”。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如果某项不适用，确认状态填写“不适用”，并在备注说明原因。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如果后续发现图或报告错误，应修改主采集表后重新生成，不要手工改图。</w:t>
      </w:r>
    </w:p>
    <w:p>
      <w:pPr>
        <w:pStyle w:val="Heading1"/>
      </w:pPr>
      <w:r>
        <w:t>四、关键工作表填写重点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工作表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填写重点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03_服务器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实例ID、主机名、IP、规格、位置、GCP项目、网络标签、VPC、子网、负责人。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04_服务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服务ID、服务名称、优先级、运行实例、进程名、协议、监听端口、配置文件路径。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05_依赖关系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源服务、目标服务/外部服务/数据资产、协议、端口、认证方式、调用描述、方向。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06_数据资产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Cloud SQL、Redis、NAS、File System、Cloud Storage 等数据资源及访问方式。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07_防火墙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来源、目标、协议、端口、开放原因、管理方、关联服务和关联依赖。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09_IAM服务账号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服务账号、角色、权限范围、使用服务、权限原因、是否高权限。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10_监控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对象、监控类型、仪表盘、告警规则、日志覆盖、XDR 覆盖、覆盖状态。</w:t>
            </w:r>
          </w:p>
        </w:tc>
      </w:tr>
    </w:tbl>
    <w:p/>
    <w:p>
      <w:pPr>
        <w:pStyle w:val="Heading1"/>
      </w:pPr>
      <w:r>
        <w:t>五、完成标准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对应 Meegle 任务涉及的工作表已填写。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必填字段不为空。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关键记录有证据ID。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确认状态已标记。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不确定项已在备注或 13_问题例外 中说明。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智能体校验后无 P0 阻断项。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