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MAS CASE STUDY PROOF SYSTEM™</w:t>
      </w:r>
    </w:p>
    <w:p>
      <w:pPr>
        <w:jc w:val="center"/>
      </w:pPr>
      <w:r>
        <w:rPr>
          <w:sz w:val="20"/>
        </w:rPr>
        <w:t>v1.0 | Singapore Real Estate Insider — Millionaire Advisory System™</w:t>
      </w:r>
    </w:p>
    <w:p>
      <w:r>
        <w:t>STATUS: ACTIVE PROOF ASSET SYSTEM</w:t>
      </w:r>
    </w:p>
    <w:p>
      <w:r>
        <w:t>FOLDER: 05_ASSET_BANK / 02_PROOF_ASSETS</w:t>
      </w:r>
    </w:p>
    <w:p>
      <w:r>
        <w:t>PURPOSE: To convert real client stories, transaction outcomes, market examples, and advisory wins into reusable proof assets that can support marketing, sales, webinars, consults, recruitment, and training.</w:t>
      </w:r>
    </w:p>
    <w:p>
      <w:pPr>
        <w:pStyle w:val="Heading1"/>
      </w:pPr>
      <w:r>
        <w:t>CORE PRINCIPLE</w:t>
      </w:r>
    </w:p>
    <w:p>
      <w:r>
        <w:t>A case study is not a story to be told once. A case study is a proof asset that can be reframed across different awareness stages, Strategic Intents, buyer profiles, and business objectives.</w:t>
      </w:r>
    </w:p>
    <w:p>
      <w:pPr>
        <w:pStyle w:val="Heading1"/>
      </w:pPr>
      <w:r>
        <w:t>GOLDEN RULE</w:t>
      </w:r>
    </w:p>
    <w:p>
      <w:r>
        <w:t>One case study can support many angles, but the angle must always be truthful, compliant, and grounded in the actual facts of the case.</w:t>
      </w:r>
    </w:p>
    <w:p>
      <w:pPr>
        <w:pStyle w:val="Heading1"/>
      </w:pPr>
      <w:r>
        <w:t>1. WHAT THIS SYSTEM IS FOR</w:t>
      </w:r>
    </w:p>
    <w:p>
      <w:pPr>
        <w:pStyle w:val="ListBullet"/>
      </w:pPr>
      <w:r>
        <w:t>To list and organise every usable MAS case study.</w:t>
      </w:r>
    </w:p>
    <w:p>
      <w:pPr>
        <w:pStyle w:val="ListBullet"/>
      </w:pPr>
      <w:r>
        <w:t>To tag each case study by Ascent Level, Strategic Intent, buyer profile, belief block, and proof type.</w:t>
      </w:r>
    </w:p>
    <w:p>
      <w:pPr>
        <w:pStyle w:val="ListBullet"/>
      </w:pPr>
      <w:r>
        <w:t>To help AI retrieve the right case study for the right ad, video, consult, webinar, or training moment.</w:t>
      </w:r>
    </w:p>
    <w:p>
      <w:pPr>
        <w:pStyle w:val="ListBullet"/>
      </w:pPr>
      <w:r>
        <w:t>To allow the same case study to be reframed into Legacy Launch, Family Legacy, Mash-up, sales, marketing, and training contexts when truthful and relevant.</w:t>
      </w:r>
    </w:p>
    <w:p>
      <w:pPr>
        <w:pStyle w:val="ListBullet"/>
      </w:pPr>
      <w:r>
        <w:t>To connect proof assets stored in Asset Bank to Docs 13, 17, 18, 19, 21, and 22.</w:t>
      </w:r>
    </w:p>
    <w:p>
      <w:pPr>
        <w:pStyle w:val="Heading1"/>
      </w:pPr>
      <w:r>
        <w:t>2. CASE STUDY MASTER RECORD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Field</w:t>
            </w:r>
          </w:p>
        </w:tc>
        <w:tc>
          <w:tcPr>
            <w:tcW w:type="dxa" w:w="5112"/>
            <w:shd w:fill="D9EAF7"/>
          </w:tcPr>
          <w:p>
            <w:r/>
            <w:r>
              <w:rPr>
                <w:b/>
                <w:sz w:val="18"/>
              </w:rPr>
              <w:t>Purpose / Instruction</w:t>
            </w:r>
          </w:p>
        </w:tc>
      </w:tr>
      <w:tr>
        <w:tc>
          <w:tcPr>
            <w:tcW w:type="dxa" w:w="2592"/>
          </w:tcPr>
          <w:p>
            <w:r/>
            <w:r>
              <w:rPr>
                <w:b/>
                <w:sz w:val="18"/>
              </w:rPr>
              <w:t>Case Study Name</w:t>
            </w:r>
          </w:p>
        </w:tc>
        <w:tc>
          <w:tcPr>
            <w:tcW w:type="dxa" w:w="6912"/>
          </w:tcPr>
          <w:p>
            <w:r/>
            <w:r>
              <w:rPr>
                <w:b w:val="0"/>
                <w:sz w:val="18"/>
              </w:rPr>
              <w:t>Short internal name. Example: Parc Clementis 2BR2B 2020-2024.</w:t>
            </w:r>
          </w:p>
        </w:tc>
      </w:tr>
      <w:tr>
        <w:tc>
          <w:tcPr>
            <w:tcW w:type="dxa" w:w="2592"/>
          </w:tcPr>
          <w:p>
            <w:r/>
            <w:r>
              <w:rPr>
                <w:b/>
                <w:sz w:val="18"/>
              </w:rPr>
              <w:t>Client / Source Type</w:t>
            </w:r>
          </w:p>
        </w:tc>
        <w:tc>
          <w:tcPr>
            <w:tcW w:type="dxa" w:w="6912"/>
          </w:tcPr>
          <w:p>
            <w:r/>
            <w:r>
              <w:rPr>
                <w:b w:val="0"/>
                <w:sz w:val="18"/>
              </w:rPr>
              <w:t>Own case, client case, market case, anonymised case, public transaction case, or training example.</w:t>
            </w:r>
          </w:p>
        </w:tc>
      </w:tr>
      <w:tr>
        <w:tc>
          <w:tcPr>
            <w:tcW w:type="dxa" w:w="2592"/>
          </w:tcPr>
          <w:p>
            <w:r/>
            <w:r>
              <w:rPr>
                <w:b/>
                <w:sz w:val="18"/>
              </w:rPr>
              <w:t>Confidentiality Level</w:t>
            </w:r>
          </w:p>
        </w:tc>
        <w:tc>
          <w:tcPr>
            <w:tcW w:type="dxa" w:w="6912"/>
          </w:tcPr>
          <w:p>
            <w:r/>
            <w:r>
              <w:rPr>
                <w:b w:val="0"/>
                <w:sz w:val="18"/>
              </w:rPr>
              <w:t>Public, anonymised, internal only, or approval required.</w:t>
            </w:r>
          </w:p>
        </w:tc>
      </w:tr>
      <w:tr>
        <w:tc>
          <w:tcPr>
            <w:tcW w:type="dxa" w:w="2592"/>
          </w:tcPr>
          <w:p>
            <w:r/>
            <w:r>
              <w:rPr>
                <w:b/>
                <w:sz w:val="18"/>
              </w:rPr>
              <w:t>Ascent Level</w:t>
            </w:r>
          </w:p>
        </w:tc>
        <w:tc>
          <w:tcPr>
            <w:tcW w:type="dxa" w:w="6912"/>
          </w:tcPr>
          <w:p>
            <w:r/>
            <w:r>
              <w:rPr>
                <w:b w:val="0"/>
                <w:sz w:val="18"/>
              </w:rPr>
              <w:t>Level 1 Activation, Level 2 First Climb, Level 3 Compound, Level 4 Legacy, or Mash-up.</w:t>
            </w:r>
          </w:p>
        </w:tc>
      </w:tr>
      <w:tr>
        <w:tc>
          <w:tcPr>
            <w:tcW w:type="dxa" w:w="2592"/>
          </w:tcPr>
          <w:p>
            <w:r/>
            <w:r>
              <w:rPr>
                <w:b/>
                <w:sz w:val="18"/>
              </w:rPr>
              <w:t>Strategic Intent</w:t>
            </w:r>
          </w:p>
        </w:tc>
        <w:tc>
          <w:tcPr>
            <w:tcW w:type="dxa" w:w="6912"/>
          </w:tcPr>
          <w:p>
            <w:r/>
            <w:r>
              <w:rPr>
                <w:b w:val="0"/>
                <w:sz w:val="18"/>
              </w:rPr>
              <w:t>SI-05 Legacy Launch, SI-06 Family Legacy, Mash-up, or supporting proof only.</w:t>
            </w:r>
          </w:p>
        </w:tc>
      </w:tr>
      <w:tr>
        <w:tc>
          <w:tcPr>
            <w:tcW w:type="dxa" w:w="2592"/>
          </w:tcPr>
          <w:p>
            <w:r/>
            <w:r>
              <w:rPr>
                <w:b/>
                <w:sz w:val="18"/>
              </w:rPr>
              <w:t>Buyer Profile</w:t>
            </w:r>
          </w:p>
        </w:tc>
        <w:tc>
          <w:tcPr>
            <w:tcW w:type="dxa" w:w="6912"/>
          </w:tcPr>
          <w:p>
            <w:r/>
            <w:r>
              <w:rPr>
                <w:b w:val="0"/>
                <w:sz w:val="18"/>
              </w:rPr>
              <w:t>Ready Mover, Idle Capital Parent, Resonance Explorer, Mash-up Family Strategist, or other approved MAS profile.</w:t>
            </w:r>
          </w:p>
        </w:tc>
      </w:tr>
      <w:tr>
        <w:tc>
          <w:tcPr>
            <w:tcW w:type="dxa" w:w="2592"/>
          </w:tcPr>
          <w:p>
            <w:r/>
            <w:r>
              <w:rPr>
                <w:b/>
                <w:sz w:val="18"/>
              </w:rPr>
              <w:t>Consumer Psychology</w:t>
            </w:r>
          </w:p>
        </w:tc>
        <w:tc>
          <w:tcPr>
            <w:tcW w:type="dxa" w:w="6912"/>
          </w:tcPr>
          <w:p>
            <w:r/>
            <w:r>
              <w:rPr>
                <w:b w:val="0"/>
                <w:sz w:val="18"/>
              </w:rPr>
              <w:t>Analytical, Validation Seeker, Collaborative, Opportunity Seeker, Comfort Preserver, or Action Taker.</w:t>
            </w:r>
          </w:p>
        </w:tc>
      </w:tr>
      <w:tr>
        <w:tc>
          <w:tcPr>
            <w:tcW w:type="dxa" w:w="2592"/>
          </w:tcPr>
          <w:p>
            <w:r/>
            <w:r>
              <w:rPr>
                <w:b/>
                <w:sz w:val="18"/>
              </w:rPr>
              <w:t>Original Problem</w:t>
            </w:r>
          </w:p>
        </w:tc>
        <w:tc>
          <w:tcPr>
            <w:tcW w:type="dxa" w:w="6912"/>
          </w:tcPr>
          <w:p>
            <w:r/>
            <w:r>
              <w:rPr>
                <w:b w:val="0"/>
                <w:sz w:val="18"/>
              </w:rPr>
              <w:t>What was the client facing before advisory?</w:t>
            </w:r>
          </w:p>
        </w:tc>
      </w:tr>
      <w:tr>
        <w:tc>
          <w:tcPr>
            <w:tcW w:type="dxa" w:w="2592"/>
          </w:tcPr>
          <w:p>
            <w:r/>
            <w:r>
              <w:rPr>
                <w:b/>
                <w:sz w:val="18"/>
              </w:rPr>
              <w:t>Belief Block</w:t>
            </w:r>
          </w:p>
        </w:tc>
        <w:tc>
          <w:tcPr>
            <w:tcW w:type="dxa" w:w="6912"/>
          </w:tcPr>
          <w:p>
            <w:r/>
            <w:r>
              <w:rPr>
                <w:b w:val="0"/>
                <w:sz w:val="18"/>
              </w:rPr>
              <w:t>What belief or hesitation stopped movement?</w:t>
            </w:r>
          </w:p>
        </w:tc>
      </w:tr>
      <w:tr>
        <w:tc>
          <w:tcPr>
            <w:tcW w:type="dxa" w:w="2592"/>
          </w:tcPr>
          <w:p>
            <w:r/>
            <w:r>
              <w:rPr>
                <w:b/>
                <w:sz w:val="18"/>
              </w:rPr>
              <w:t>Trigger Moment</w:t>
            </w:r>
          </w:p>
        </w:tc>
        <w:tc>
          <w:tcPr>
            <w:tcW w:type="dxa" w:w="6912"/>
          </w:tcPr>
          <w:p>
            <w:r/>
            <w:r>
              <w:rPr>
                <w:b w:val="0"/>
                <w:sz w:val="18"/>
              </w:rPr>
              <w:t>What event, market signal, life stage, or concern activated the client?</w:t>
            </w:r>
          </w:p>
        </w:tc>
      </w:tr>
      <w:tr>
        <w:tc>
          <w:tcPr>
            <w:tcW w:type="dxa" w:w="2592"/>
          </w:tcPr>
          <w:p>
            <w:r/>
            <w:r>
              <w:rPr>
                <w:b/>
                <w:sz w:val="18"/>
              </w:rPr>
              <w:t>Strategy Used</w:t>
            </w:r>
          </w:p>
        </w:tc>
        <w:tc>
          <w:tcPr>
            <w:tcW w:type="dxa" w:w="6912"/>
          </w:tcPr>
          <w:p>
            <w:r/>
            <w:r>
              <w:rPr>
                <w:b w:val="0"/>
                <w:sz w:val="18"/>
              </w:rPr>
              <w:t>What advisory pathway was applied?</w:t>
            </w:r>
          </w:p>
        </w:tc>
      </w:tr>
      <w:tr>
        <w:tc>
          <w:tcPr>
            <w:tcW w:type="dxa" w:w="2592"/>
          </w:tcPr>
          <w:p>
            <w:r/>
            <w:r>
              <w:rPr>
                <w:b/>
                <w:sz w:val="18"/>
              </w:rPr>
              <w:t>Property / Financial Move</w:t>
            </w:r>
          </w:p>
        </w:tc>
        <w:tc>
          <w:tcPr>
            <w:tcW w:type="dxa" w:w="6912"/>
          </w:tcPr>
          <w:p>
            <w:r/>
            <w:r>
              <w:rPr>
                <w:b w:val="0"/>
                <w:sz w:val="18"/>
              </w:rPr>
              <w:t>What move was made? Include only facts that can be supported.</w:t>
            </w:r>
          </w:p>
        </w:tc>
      </w:tr>
      <w:tr>
        <w:tc>
          <w:tcPr>
            <w:tcW w:type="dxa" w:w="2592"/>
          </w:tcPr>
          <w:p>
            <w:r/>
            <w:r>
              <w:rPr>
                <w:b/>
                <w:sz w:val="18"/>
              </w:rPr>
              <w:t>Outcome</w:t>
            </w:r>
          </w:p>
        </w:tc>
        <w:tc>
          <w:tcPr>
            <w:tcW w:type="dxa" w:w="6912"/>
          </w:tcPr>
          <w:p>
            <w:r/>
            <w:r>
              <w:rPr>
                <w:b w:val="0"/>
                <w:sz w:val="18"/>
              </w:rPr>
              <w:t>What changed after the move? Capital gain, optionality, positioning, family planning, confidence, or decision clarity.</w:t>
            </w:r>
          </w:p>
        </w:tc>
      </w:tr>
      <w:tr>
        <w:tc>
          <w:tcPr>
            <w:tcW w:type="dxa" w:w="2592"/>
          </w:tcPr>
          <w:p>
            <w:r/>
            <w:r>
              <w:rPr>
                <w:b/>
                <w:sz w:val="18"/>
              </w:rPr>
              <w:t>Proof Assets Available</w:t>
            </w:r>
          </w:p>
        </w:tc>
        <w:tc>
          <w:tcPr>
            <w:tcW w:type="dxa" w:w="6912"/>
          </w:tcPr>
          <w:p>
            <w:r/>
            <w:r>
              <w:rPr>
                <w:b w:val="0"/>
                <w:sz w:val="18"/>
              </w:rPr>
              <w:t>Screenshots, transaction records, WhatsApp messages, charts, videos, news links, client permission, or public data.</w:t>
            </w:r>
          </w:p>
        </w:tc>
      </w:tr>
      <w:tr>
        <w:tc>
          <w:tcPr>
            <w:tcW w:type="dxa" w:w="2592"/>
          </w:tcPr>
          <w:p>
            <w:r/>
            <w:r>
              <w:rPr>
                <w:b/>
                <w:sz w:val="18"/>
              </w:rPr>
              <w:t>Caveats / Compliance Notes</w:t>
            </w:r>
          </w:p>
        </w:tc>
        <w:tc>
          <w:tcPr>
            <w:tcW w:type="dxa" w:w="6912"/>
          </w:tcPr>
          <w:p>
            <w:r/>
            <w:r>
              <w:rPr>
                <w:b w:val="0"/>
                <w:sz w:val="18"/>
              </w:rPr>
              <w:t>Any limits, disclaimers, anonymisation needs, or claims that must not be overstated.</w:t>
            </w:r>
          </w:p>
        </w:tc>
      </w:tr>
    </w:tbl>
    <w:p/>
    <w:p>
      <w:pPr>
        <w:pStyle w:val="Heading1"/>
      </w:pPr>
      <w:r>
        <w:t>3. ANGLE REFRAMING MATRIX</w:t>
      </w:r>
    </w:p>
    <w:p>
      <w:r>
        <w:t>Every case study should be tested against these possible uses. Not every case study must fit every use. Use only truthful and relevant reframes.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Field</w:t>
            </w:r>
          </w:p>
        </w:tc>
        <w:tc>
          <w:tcPr>
            <w:tcW w:type="dxa" w:w="5112"/>
            <w:shd w:fill="D9EAF7"/>
          </w:tcPr>
          <w:p>
            <w:r/>
            <w:r>
              <w:rPr>
                <w:b/>
                <w:sz w:val="18"/>
              </w:rPr>
              <w:t>Purpose / Instruction</w:t>
            </w:r>
          </w:p>
        </w:tc>
      </w:tr>
      <w:tr>
        <w:tc>
          <w:tcPr>
            <w:tcW w:type="dxa" w:w="2592"/>
          </w:tcPr>
          <w:p>
            <w:r/>
            <w:r>
              <w:rPr>
                <w:b/>
                <w:sz w:val="18"/>
              </w:rPr>
              <w:t>Problem Aware</w:t>
            </w:r>
          </w:p>
        </w:tc>
        <w:tc>
          <w:tcPr>
            <w:tcW w:type="dxa" w:w="6912"/>
          </w:tcPr>
          <w:p>
            <w:r/>
            <w:r>
              <w:rPr>
                <w:b w:val="0"/>
                <w:sz w:val="18"/>
              </w:rPr>
              <w:t>Use the case to reveal the hidden problem the audience may not realise yet.</w:t>
            </w:r>
          </w:p>
        </w:tc>
      </w:tr>
      <w:tr>
        <w:tc>
          <w:tcPr>
            <w:tcW w:type="dxa" w:w="2592"/>
          </w:tcPr>
          <w:p>
            <w:r/>
            <w:r>
              <w:rPr>
                <w:b/>
                <w:sz w:val="18"/>
              </w:rPr>
              <w:t>Consequence Aware</w:t>
            </w:r>
          </w:p>
        </w:tc>
        <w:tc>
          <w:tcPr>
            <w:tcW w:type="dxa" w:w="6912"/>
          </w:tcPr>
          <w:p>
            <w:r/>
            <w:r>
              <w:rPr>
                <w:b w:val="0"/>
                <w:sz w:val="18"/>
              </w:rPr>
              <w:t>Use the case to show what delay, wrong timing, or wrong structure could cost.</w:t>
            </w:r>
          </w:p>
        </w:tc>
      </w:tr>
      <w:tr>
        <w:tc>
          <w:tcPr>
            <w:tcW w:type="dxa" w:w="2592"/>
          </w:tcPr>
          <w:p>
            <w:r/>
            <w:r>
              <w:rPr>
                <w:b/>
                <w:sz w:val="18"/>
              </w:rPr>
              <w:t>Solution Aware</w:t>
            </w:r>
          </w:p>
        </w:tc>
        <w:tc>
          <w:tcPr>
            <w:tcW w:type="dxa" w:w="6912"/>
          </w:tcPr>
          <w:p>
            <w:r/>
            <w:r>
              <w:rPr>
                <w:b w:val="0"/>
                <w:sz w:val="18"/>
              </w:rPr>
              <w:t>Use the case to show the strategic pathway that solved the issue.</w:t>
            </w:r>
          </w:p>
        </w:tc>
      </w:tr>
      <w:tr>
        <w:tc>
          <w:tcPr>
            <w:tcW w:type="dxa" w:w="2592"/>
          </w:tcPr>
          <w:p>
            <w:r/>
            <w:r>
              <w:rPr>
                <w:b/>
                <w:sz w:val="18"/>
              </w:rPr>
              <w:t>Method Aware</w:t>
            </w:r>
          </w:p>
        </w:tc>
        <w:tc>
          <w:tcPr>
            <w:tcW w:type="dxa" w:w="6912"/>
          </w:tcPr>
          <w:p>
            <w:r/>
            <w:r>
              <w:rPr>
                <w:b w:val="0"/>
                <w:sz w:val="18"/>
              </w:rPr>
              <w:t>Use the case to show how MAS / REI Method diagnosed the situation differently.</w:t>
            </w:r>
          </w:p>
        </w:tc>
      </w:tr>
      <w:tr>
        <w:tc>
          <w:tcPr>
            <w:tcW w:type="dxa" w:w="2592"/>
          </w:tcPr>
          <w:p>
            <w:r/>
            <w:r>
              <w:rPr>
                <w:b/>
                <w:sz w:val="18"/>
              </w:rPr>
              <w:t>Product Aware</w:t>
            </w:r>
          </w:p>
        </w:tc>
        <w:tc>
          <w:tcPr>
            <w:tcW w:type="dxa" w:w="6912"/>
          </w:tcPr>
          <w:p>
            <w:r/>
            <w:r>
              <w:rPr>
                <w:b w:val="0"/>
                <w:sz w:val="18"/>
              </w:rPr>
              <w:t>Use the case to show why a MAS Strategy Session, Legacy Launch review, or Family Legacy review is the next step.</w:t>
            </w:r>
          </w:p>
        </w:tc>
      </w:tr>
      <w:tr>
        <w:tc>
          <w:tcPr>
            <w:tcW w:type="dxa" w:w="2592"/>
          </w:tcPr>
          <w:p>
            <w:r/>
            <w:r>
              <w:rPr>
                <w:b/>
                <w:sz w:val="18"/>
              </w:rPr>
              <w:t>Legacy Launch</w:t>
            </w:r>
          </w:p>
        </w:tc>
        <w:tc>
          <w:tcPr>
            <w:tcW w:type="dxa" w:w="6912"/>
          </w:tcPr>
          <w:p>
            <w:r/>
            <w:r>
              <w:rPr>
                <w:b w:val="0"/>
                <w:sz w:val="18"/>
              </w:rPr>
              <w:t>Reframe the case around current-property repositioning, next move, exit logic, and Level 2 First Climb.</w:t>
            </w:r>
          </w:p>
        </w:tc>
      </w:tr>
      <w:tr>
        <w:tc>
          <w:tcPr>
            <w:tcW w:type="dxa" w:w="2592"/>
          </w:tcPr>
          <w:p>
            <w:r/>
            <w:r>
              <w:rPr>
                <w:b/>
                <w:sz w:val="18"/>
              </w:rPr>
              <w:t>Family Legacy</w:t>
            </w:r>
          </w:p>
        </w:tc>
        <w:tc>
          <w:tcPr>
            <w:tcW w:type="dxa" w:w="6912"/>
          </w:tcPr>
          <w:p>
            <w:r/>
            <w:r>
              <w:rPr>
                <w:b w:val="0"/>
                <w:sz w:val="18"/>
              </w:rPr>
              <w:t>Reframe the case around child positioning, family ownership planning, adult-child entry, and Level 4 Legacy.</w:t>
            </w:r>
          </w:p>
        </w:tc>
      </w:tr>
      <w:tr>
        <w:tc>
          <w:tcPr>
            <w:tcW w:type="dxa" w:w="2592"/>
          </w:tcPr>
          <w:p>
            <w:r/>
            <w:r>
              <w:rPr>
                <w:b/>
                <w:sz w:val="18"/>
              </w:rPr>
              <w:t>Mash-up</w:t>
            </w:r>
          </w:p>
        </w:tc>
        <w:tc>
          <w:tcPr>
            <w:tcW w:type="dxa" w:w="6912"/>
          </w:tcPr>
          <w:p>
            <w:r/>
            <w:r>
              <w:rPr>
                <w:b w:val="0"/>
                <w:sz w:val="18"/>
              </w:rPr>
              <w:t>Reframe the case around combining parent repositioning and child/family pathway logic.</w:t>
            </w:r>
          </w:p>
        </w:tc>
      </w:tr>
      <w:tr>
        <w:tc>
          <w:tcPr>
            <w:tcW w:type="dxa" w:w="2592"/>
          </w:tcPr>
          <w:p>
            <w:r/>
            <w:r>
              <w:rPr>
                <w:b/>
                <w:sz w:val="18"/>
              </w:rPr>
              <w:t>Sales / Consult</w:t>
            </w:r>
          </w:p>
        </w:tc>
        <w:tc>
          <w:tcPr>
            <w:tcW w:type="dxa" w:w="6912"/>
          </w:tcPr>
          <w:p>
            <w:r/>
            <w:r>
              <w:rPr>
                <w:b w:val="0"/>
                <w:sz w:val="18"/>
              </w:rPr>
              <w:t>Use the case during advisory conversations to reduce fear, increase clarity, or resolve a belief block.</w:t>
            </w:r>
          </w:p>
        </w:tc>
      </w:tr>
      <w:tr>
        <w:tc>
          <w:tcPr>
            <w:tcW w:type="dxa" w:w="2592"/>
          </w:tcPr>
          <w:p>
            <w:r/>
            <w:r>
              <w:rPr>
                <w:b/>
                <w:sz w:val="18"/>
              </w:rPr>
              <w:t>Webinar / Stage Selling</w:t>
            </w:r>
          </w:p>
        </w:tc>
        <w:tc>
          <w:tcPr>
            <w:tcW w:type="dxa" w:w="6912"/>
          </w:tcPr>
          <w:p>
            <w:r/>
            <w:r>
              <w:rPr>
                <w:b w:val="0"/>
                <w:sz w:val="18"/>
              </w:rPr>
              <w:t>Use the case as a proof segment in 1-to-many teaching and selling.</w:t>
            </w:r>
          </w:p>
        </w:tc>
      </w:tr>
      <w:tr>
        <w:tc>
          <w:tcPr>
            <w:tcW w:type="dxa" w:w="2592"/>
          </w:tcPr>
          <w:p>
            <w:r/>
            <w:r>
              <w:rPr>
                <w:b/>
                <w:sz w:val="18"/>
              </w:rPr>
              <w:t>Recruitment / Training</w:t>
            </w:r>
          </w:p>
        </w:tc>
        <w:tc>
          <w:tcPr>
            <w:tcW w:type="dxa" w:w="6912"/>
          </w:tcPr>
          <w:p>
            <w:r/>
            <w:r>
              <w:rPr>
                <w:b w:val="0"/>
                <w:sz w:val="18"/>
              </w:rPr>
              <w:t>Use the case to teach agents how advisory thinking is different from transactional property selling.</w:t>
            </w:r>
          </w:p>
        </w:tc>
      </w:tr>
    </w:tbl>
    <w:p/>
    <w:p>
      <w:pPr>
        <w:pStyle w:val="Heading1"/>
      </w:pPr>
      <w:r>
        <w:t>4. CASE STUDY OUTPUT PACK</w:t>
      </w:r>
    </w:p>
    <w:p>
      <w:r>
        <w:t>For each strong case study, AI should be able to generate the following output pack:</w:t>
      </w:r>
    </w:p>
    <w:p>
      <w:pPr>
        <w:pStyle w:val="ListBullet"/>
      </w:pPr>
      <w:r>
        <w:t>3 Problem Aware ad angles</w:t>
      </w:r>
    </w:p>
    <w:p>
      <w:pPr>
        <w:pStyle w:val="ListBullet"/>
      </w:pPr>
      <w:r>
        <w:t>3 Consequence Aware ad angles</w:t>
      </w:r>
    </w:p>
    <w:p>
      <w:pPr>
        <w:pStyle w:val="ListBullet"/>
      </w:pPr>
      <w:r>
        <w:t>2 Solution Aware content topics</w:t>
      </w:r>
    </w:p>
    <w:p>
      <w:pPr>
        <w:pStyle w:val="ListBullet"/>
      </w:pPr>
      <w:r>
        <w:t>2 Method Aware teaching angles</w:t>
      </w:r>
    </w:p>
    <w:p>
      <w:pPr>
        <w:pStyle w:val="ListBullet"/>
      </w:pPr>
      <w:r>
        <w:t>1 Product Aware consult CTA angle</w:t>
      </w:r>
    </w:p>
    <w:p>
      <w:pPr>
        <w:pStyle w:val="ListBullet"/>
      </w:pPr>
      <w:r>
        <w:t>1 short-form video script</w:t>
      </w:r>
    </w:p>
    <w:p>
      <w:pPr>
        <w:pStyle w:val="ListBullet"/>
      </w:pPr>
      <w:r>
        <w:t>1 long-form YouTube outline</w:t>
      </w:r>
    </w:p>
    <w:p>
      <w:pPr>
        <w:pStyle w:val="ListBullet"/>
      </w:pPr>
      <w:r>
        <w:t>1 carousel concept</w:t>
      </w:r>
    </w:p>
    <w:p>
      <w:pPr>
        <w:pStyle w:val="ListBullet"/>
      </w:pPr>
      <w:r>
        <w:t>1 consult proof story</w:t>
      </w:r>
    </w:p>
    <w:p>
      <w:pPr>
        <w:pStyle w:val="ListBullet"/>
      </w:pPr>
      <w:r>
        <w:t>1 webinar proof segment</w:t>
      </w:r>
    </w:p>
    <w:p>
      <w:pPr>
        <w:pStyle w:val="ListBullet"/>
      </w:pPr>
      <w:r>
        <w:t>1 team training note</w:t>
      </w:r>
    </w:p>
    <w:p>
      <w:pPr>
        <w:pStyle w:val="Heading1"/>
      </w:pPr>
      <w:r>
        <w:t>5. EXAMPLE: SAME CASE, MULTIPLE ANGLES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Field</w:t>
            </w:r>
          </w:p>
        </w:tc>
        <w:tc>
          <w:tcPr>
            <w:tcW w:type="dxa" w:w="5112"/>
            <w:shd w:fill="D9EAF7"/>
          </w:tcPr>
          <w:p>
            <w:r/>
            <w:r>
              <w:rPr>
                <w:b/>
                <w:sz w:val="18"/>
              </w:rPr>
              <w:t>Purpose / Instruction</w:t>
            </w:r>
          </w:p>
        </w:tc>
      </w:tr>
      <w:tr>
        <w:tc>
          <w:tcPr>
            <w:tcW w:type="dxa" w:w="2592"/>
          </w:tcPr>
          <w:p>
            <w:r/>
            <w:r>
              <w:rPr>
                <w:b/>
                <w:sz w:val="18"/>
              </w:rPr>
              <w:t>Case Study</w:t>
            </w:r>
          </w:p>
        </w:tc>
        <w:tc>
          <w:tcPr>
            <w:tcW w:type="dxa" w:w="6912"/>
          </w:tcPr>
          <w:p>
            <w:r/>
            <w:r>
              <w:rPr>
                <w:b w:val="0"/>
                <w:sz w:val="18"/>
              </w:rPr>
              <w:t>Parc Clementis 2BR2B — bought June 2020 at $1.15M and sold in 2024 at $1.58M.</w:t>
            </w:r>
          </w:p>
        </w:tc>
      </w:tr>
      <w:tr>
        <w:tc>
          <w:tcPr>
            <w:tcW w:type="dxa" w:w="2592"/>
          </w:tcPr>
          <w:p>
            <w:r/>
            <w:r>
              <w:rPr>
                <w:b/>
                <w:sz w:val="18"/>
              </w:rPr>
              <w:t>Problem Aware Angle</w:t>
            </w:r>
          </w:p>
        </w:tc>
        <w:tc>
          <w:tcPr>
            <w:tcW w:type="dxa" w:w="6912"/>
          </w:tcPr>
          <w:p>
            <w:r/>
            <w:r>
              <w:rPr>
                <w:b w:val="0"/>
                <w:sz w:val="18"/>
              </w:rPr>
              <w:t>Many buyers avoid muted markets because they confuse low sentiment with poor opportunity.</w:t>
            </w:r>
          </w:p>
        </w:tc>
      </w:tr>
      <w:tr>
        <w:tc>
          <w:tcPr>
            <w:tcW w:type="dxa" w:w="2592"/>
          </w:tcPr>
          <w:p>
            <w:r/>
            <w:r>
              <w:rPr>
                <w:b/>
                <w:sz w:val="18"/>
              </w:rPr>
              <w:t>Consequence Aware Angle</w:t>
            </w:r>
          </w:p>
        </w:tc>
        <w:tc>
          <w:tcPr>
            <w:tcW w:type="dxa" w:w="6912"/>
          </w:tcPr>
          <w:p>
            <w:r/>
            <w:r>
              <w:rPr>
                <w:b w:val="0"/>
                <w:sz w:val="18"/>
              </w:rPr>
              <w:t>Waiting for the market to feel safe may mean missing the entry window that later creates the strongest gain.</w:t>
            </w:r>
          </w:p>
        </w:tc>
      </w:tr>
      <w:tr>
        <w:tc>
          <w:tcPr>
            <w:tcW w:type="dxa" w:w="2592"/>
          </w:tcPr>
          <w:p>
            <w:r/>
            <w:r>
              <w:rPr>
                <w:b/>
                <w:sz w:val="18"/>
              </w:rPr>
              <w:t>Solution Aware Angle</w:t>
            </w:r>
          </w:p>
        </w:tc>
        <w:tc>
          <w:tcPr>
            <w:tcW w:type="dxa" w:w="6912"/>
          </w:tcPr>
          <w:p>
            <w:r/>
            <w:r>
              <w:rPr>
                <w:b w:val="0"/>
                <w:sz w:val="18"/>
              </w:rPr>
              <w:t>A structured entry review can reveal where demand, quantum, and exit buyer logic are aligned.</w:t>
            </w:r>
          </w:p>
        </w:tc>
      </w:tr>
      <w:tr>
        <w:tc>
          <w:tcPr>
            <w:tcW w:type="dxa" w:w="2592"/>
          </w:tcPr>
          <w:p>
            <w:r/>
            <w:r>
              <w:rPr>
                <w:b/>
                <w:sz w:val="18"/>
              </w:rPr>
              <w:t>Method Aware Angle</w:t>
            </w:r>
          </w:p>
        </w:tc>
        <w:tc>
          <w:tcPr>
            <w:tcW w:type="dxa" w:w="6912"/>
          </w:tcPr>
          <w:p>
            <w:r/>
            <w:r>
              <w:rPr>
                <w:b w:val="0"/>
                <w:sz w:val="18"/>
              </w:rPr>
              <w:t>MAS does not start with hype. It reviews real position, evaluates market rewards, and identifies the next two to three moves.</w:t>
            </w:r>
          </w:p>
        </w:tc>
      </w:tr>
      <w:tr>
        <w:tc>
          <w:tcPr>
            <w:tcW w:type="dxa" w:w="2592"/>
          </w:tcPr>
          <w:p>
            <w:r/>
            <w:r>
              <w:rPr>
                <w:b/>
                <w:sz w:val="18"/>
              </w:rPr>
              <w:t>Legacy Launch Angle</w:t>
            </w:r>
          </w:p>
        </w:tc>
        <w:tc>
          <w:tcPr>
            <w:tcW w:type="dxa" w:w="6912"/>
          </w:tcPr>
          <w:p>
            <w:r/>
            <w:r>
              <w:rPr>
                <w:b w:val="0"/>
                <w:sz w:val="18"/>
              </w:rPr>
              <w:t>Use current position and timing to move into a stronger next asset before the crowd regains confidence.</w:t>
            </w:r>
          </w:p>
        </w:tc>
      </w:tr>
      <w:tr>
        <w:tc>
          <w:tcPr>
            <w:tcW w:type="dxa" w:w="2592"/>
          </w:tcPr>
          <w:p>
            <w:r/>
            <w:r>
              <w:rPr>
                <w:b/>
                <w:sz w:val="18"/>
              </w:rPr>
              <w:t>Family Legacy Angle</w:t>
            </w:r>
          </w:p>
        </w:tc>
        <w:tc>
          <w:tcPr>
            <w:tcW w:type="dxa" w:w="6912"/>
          </w:tcPr>
          <w:p>
            <w:r/>
            <w:r>
              <w:rPr>
                <w:b w:val="0"/>
                <w:sz w:val="18"/>
              </w:rPr>
              <w:t>The lesson can be reframed for families: earlier strategic positioning can improve future options for the next generation.</w:t>
            </w:r>
          </w:p>
        </w:tc>
      </w:tr>
      <w:tr>
        <w:tc>
          <w:tcPr>
            <w:tcW w:type="dxa" w:w="2592"/>
          </w:tcPr>
          <w:p>
            <w:r/>
            <w:r>
              <w:rPr>
                <w:b/>
                <w:sz w:val="18"/>
              </w:rPr>
              <w:t>Mash-up Angle</w:t>
            </w:r>
          </w:p>
        </w:tc>
        <w:tc>
          <w:tcPr>
            <w:tcW w:type="dxa" w:w="6912"/>
          </w:tcPr>
          <w:p>
            <w:r/>
            <w:r>
              <w:rPr>
                <w:b w:val="0"/>
                <w:sz w:val="18"/>
              </w:rPr>
              <w:t>Strong entry timing plus future family positioning can create compounding optionality across multiple moves.</w:t>
            </w:r>
          </w:p>
        </w:tc>
      </w:tr>
      <w:tr>
        <w:tc>
          <w:tcPr>
            <w:tcW w:type="dxa" w:w="2592"/>
          </w:tcPr>
          <w:p>
            <w:r/>
            <w:r>
              <w:rPr>
                <w:b/>
                <w:sz w:val="18"/>
              </w:rPr>
              <w:t>Compliance Note</w:t>
            </w:r>
          </w:p>
        </w:tc>
        <w:tc>
          <w:tcPr>
            <w:tcW w:type="dxa" w:w="6912"/>
          </w:tcPr>
          <w:p>
            <w:r/>
            <w:r>
              <w:rPr>
                <w:b w:val="0"/>
                <w:sz w:val="18"/>
              </w:rPr>
              <w:t>Do not imply guaranteed returns. Always state that outcomes depend on timing, asset selection, holding period, and market conditions.</w:t>
            </w:r>
          </w:p>
        </w:tc>
      </w:tr>
    </w:tbl>
    <w:p/>
    <w:p>
      <w:pPr>
        <w:pStyle w:val="Heading1"/>
      </w:pPr>
      <w:r>
        <w:t>6. CASE STUDY INVENTORY TABLE</w:t>
      </w:r>
    </w:p>
    <w:p>
      <w:r>
        <w:t>Maintain this table inside this document or in a linked tracker when the library grows.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AF7"/>
          </w:tcPr>
          <w:p>
            <w:r/>
            <w:r>
              <w:rPr>
                <w:b/>
                <w:sz w:val="18"/>
              </w:rPr>
              <w:t>Case Study</w:t>
            </w:r>
          </w:p>
        </w:tc>
        <w:tc>
          <w:tcPr>
            <w:tcW w:type="dxa" w:w="1278"/>
            <w:shd w:fill="D9EAF7"/>
          </w:tcPr>
          <w:p>
            <w:r/>
            <w:r>
              <w:rPr>
                <w:b/>
                <w:sz w:val="18"/>
              </w:rPr>
              <w:t>Ascent</w:t>
            </w:r>
          </w:p>
        </w:tc>
        <w:tc>
          <w:tcPr>
            <w:tcW w:type="dxa" w:w="1278"/>
            <w:shd w:fill="D9EAF7"/>
          </w:tcPr>
          <w:p>
            <w:r/>
            <w:r>
              <w:rPr>
                <w:b/>
                <w:sz w:val="18"/>
              </w:rPr>
              <w:t>SI</w:t>
            </w:r>
          </w:p>
        </w:tc>
        <w:tc>
          <w:tcPr>
            <w:tcW w:type="dxa" w:w="1278"/>
            <w:shd w:fill="D9EAF7"/>
          </w:tcPr>
          <w:p>
            <w:r/>
            <w:r>
              <w:rPr>
                <w:b/>
                <w:sz w:val="18"/>
              </w:rPr>
              <w:t>Buyer Profile</w:t>
            </w:r>
          </w:p>
        </w:tc>
        <w:tc>
          <w:tcPr>
            <w:tcW w:type="dxa" w:w="1278"/>
            <w:shd w:fill="D9EAF7"/>
          </w:tcPr>
          <w:p>
            <w:r/>
            <w:r>
              <w:rPr>
                <w:b/>
                <w:sz w:val="18"/>
              </w:rPr>
              <w:t>Proof Type</w:t>
            </w:r>
          </w:p>
        </w:tc>
        <w:tc>
          <w:tcPr>
            <w:tcW w:type="dxa" w:w="1278"/>
            <w:shd w:fill="D9EAF7"/>
          </w:tcPr>
          <w:p>
            <w:r/>
            <w:r>
              <w:rPr>
                <w:b/>
                <w:sz w:val="18"/>
              </w:rPr>
              <w:t>Status</w:t>
            </w:r>
          </w:p>
        </w:tc>
        <w:tc>
          <w:tcPr>
            <w:tcW w:type="dxa" w:w="1278"/>
            <w:shd w:fill="D9EAF7"/>
          </w:tcPr>
          <w:p>
            <w:r/>
            <w:r>
              <w:rPr>
                <w:b/>
                <w:sz w:val="18"/>
              </w:rPr>
              <w:t>Best Uses</w:t>
            </w:r>
          </w:p>
        </w:tc>
        <w:tc>
          <w:tcPr>
            <w:tcW w:type="dxa" w:w="1278"/>
            <w:shd w:fill="D9EAF7"/>
          </w:tcPr>
          <w:p>
            <w:r/>
            <w:r>
              <w:rPr>
                <w:b/>
                <w:sz w:val="18"/>
              </w:rPr>
              <w:t>Asset Link</w:t>
            </w:r>
          </w:p>
        </w:tc>
      </w:tr>
      <w:tr>
        <w:tc>
          <w:tcPr>
            <w:tcW w:type="dxa" w:w="1278"/>
          </w:tcPr>
          <w:p>
            <w:r/>
            <w:r>
              <w:rPr>
                <w:b w:val="0"/>
                <w:sz w:val="18"/>
              </w:rPr>
              <w:t>Parc Clementis 2BR2B 2020-2024</w:t>
            </w:r>
          </w:p>
        </w:tc>
        <w:tc>
          <w:tcPr>
            <w:tcW w:type="dxa" w:w="1278"/>
          </w:tcPr>
          <w:p>
            <w:r/>
            <w:r>
              <w:rPr>
                <w:b w:val="0"/>
                <w:sz w:val="18"/>
              </w:rPr>
              <w:t>Level 2</w:t>
            </w:r>
          </w:p>
        </w:tc>
        <w:tc>
          <w:tcPr>
            <w:tcW w:type="dxa" w:w="1278"/>
          </w:tcPr>
          <w:p>
            <w:r/>
            <w:r>
              <w:rPr>
                <w:b w:val="0"/>
                <w:sz w:val="18"/>
              </w:rPr>
              <w:t>SI-05</w:t>
            </w:r>
          </w:p>
        </w:tc>
        <w:tc>
          <w:tcPr>
            <w:tcW w:type="dxa" w:w="1278"/>
          </w:tcPr>
          <w:p>
            <w:r/>
            <w:r>
              <w:rPr>
                <w:b w:val="0"/>
                <w:sz w:val="18"/>
              </w:rPr>
              <w:t>Opportunity Seeker</w:t>
            </w:r>
          </w:p>
        </w:tc>
        <w:tc>
          <w:tcPr>
            <w:tcW w:type="dxa" w:w="1278"/>
          </w:tcPr>
          <w:p>
            <w:r/>
            <w:r>
              <w:rPr>
                <w:b w:val="0"/>
                <w:sz w:val="18"/>
              </w:rPr>
              <w:t>Own transaction proof</w:t>
            </w:r>
          </w:p>
        </w:tc>
        <w:tc>
          <w:tcPr>
            <w:tcW w:type="dxa" w:w="1278"/>
          </w:tcPr>
          <w:p>
            <w:r/>
            <w:r>
              <w:rPr>
                <w:b w:val="0"/>
                <w:sz w:val="18"/>
              </w:rPr>
              <w:t>Active</w:t>
            </w:r>
          </w:p>
        </w:tc>
        <w:tc>
          <w:tcPr>
            <w:tcW w:type="dxa" w:w="1278"/>
          </w:tcPr>
          <w:p>
            <w:r/>
            <w:r>
              <w:rPr>
                <w:b w:val="0"/>
                <w:sz w:val="18"/>
              </w:rPr>
              <w:t>Timing fear, muted market entry, method proof</w:t>
            </w:r>
          </w:p>
        </w:tc>
        <w:tc>
          <w:tcPr>
            <w:tcW w:type="dxa" w:w="1278"/>
          </w:tcPr>
          <w:p>
            <w:r/>
            <w:r>
              <w:rPr>
                <w:b w:val="0"/>
                <w:sz w:val="18"/>
              </w:rPr>
              <w:t>TBC</w:t>
            </w:r>
          </w:p>
        </w:tc>
      </w:tr>
      <w:tr>
        <w:tc>
          <w:tcPr>
            <w:tcW w:type="dxa" w:w="1278"/>
          </w:tcPr>
          <w:p>
            <w:r/>
            <w:r>
              <w:rPr>
                <w:b w:val="0"/>
                <w:sz w:val="18"/>
              </w:rPr>
              <w:t>Client Exit Gain Case</w:t>
            </w:r>
          </w:p>
        </w:tc>
        <w:tc>
          <w:tcPr>
            <w:tcW w:type="dxa" w:w="1278"/>
          </w:tcPr>
          <w:p>
            <w:r/>
            <w:r>
              <w:rPr>
                <w:b w:val="0"/>
                <w:sz w:val="18"/>
              </w:rPr>
              <w:t>TBC</w:t>
            </w:r>
          </w:p>
        </w:tc>
        <w:tc>
          <w:tcPr>
            <w:tcW w:type="dxa" w:w="1278"/>
          </w:tcPr>
          <w:p>
            <w:r/>
            <w:r>
              <w:rPr>
                <w:b w:val="0"/>
                <w:sz w:val="18"/>
              </w:rPr>
              <w:t>TBC</w:t>
            </w:r>
          </w:p>
        </w:tc>
        <w:tc>
          <w:tcPr>
            <w:tcW w:type="dxa" w:w="1278"/>
          </w:tcPr>
          <w:p>
            <w:r/>
            <w:r>
              <w:rPr>
                <w:b w:val="0"/>
                <w:sz w:val="18"/>
              </w:rPr>
              <w:t>TBC</w:t>
            </w:r>
          </w:p>
        </w:tc>
        <w:tc>
          <w:tcPr>
            <w:tcW w:type="dxa" w:w="1278"/>
          </w:tcPr>
          <w:p>
            <w:r/>
            <w:r>
              <w:rPr>
                <w:b w:val="0"/>
                <w:sz w:val="18"/>
              </w:rPr>
              <w:t>Client result</w:t>
            </w:r>
          </w:p>
        </w:tc>
        <w:tc>
          <w:tcPr>
            <w:tcW w:type="dxa" w:w="1278"/>
          </w:tcPr>
          <w:p>
            <w:r/>
            <w:r>
              <w:rPr>
                <w:b w:val="0"/>
                <w:sz w:val="18"/>
              </w:rPr>
              <w:t>To add</w:t>
            </w:r>
          </w:p>
        </w:tc>
        <w:tc>
          <w:tcPr>
            <w:tcW w:type="dxa" w:w="1278"/>
          </w:tcPr>
          <w:p>
            <w:r/>
            <w:r>
              <w:rPr>
                <w:b w:val="0"/>
                <w:sz w:val="18"/>
              </w:rPr>
              <w:t>Exit, repositioning, consequence aware</w:t>
            </w:r>
          </w:p>
        </w:tc>
        <w:tc>
          <w:tcPr>
            <w:tcW w:type="dxa" w:w="1278"/>
          </w:tcPr>
          <w:p>
            <w:r/>
            <w:r>
              <w:rPr>
                <w:b w:val="0"/>
                <w:sz w:val="18"/>
              </w:rPr>
              <w:t>TBC</w:t>
            </w:r>
          </w:p>
        </w:tc>
      </w:tr>
      <w:tr>
        <w:tc>
          <w:tcPr>
            <w:tcW w:type="dxa" w:w="1278"/>
          </w:tcPr>
          <w:p>
            <w:r/>
            <w:r>
              <w:rPr>
                <w:b w:val="0"/>
                <w:sz w:val="18"/>
              </w:rPr>
              <w:t>Family Legacy Planning Case</w:t>
            </w:r>
          </w:p>
        </w:tc>
        <w:tc>
          <w:tcPr>
            <w:tcW w:type="dxa" w:w="1278"/>
          </w:tcPr>
          <w:p>
            <w:r/>
            <w:r>
              <w:rPr>
                <w:b w:val="0"/>
                <w:sz w:val="18"/>
              </w:rPr>
              <w:t>Level 4</w:t>
            </w:r>
          </w:p>
        </w:tc>
        <w:tc>
          <w:tcPr>
            <w:tcW w:type="dxa" w:w="1278"/>
          </w:tcPr>
          <w:p>
            <w:r/>
            <w:r>
              <w:rPr>
                <w:b w:val="0"/>
                <w:sz w:val="18"/>
              </w:rPr>
              <w:t>SI-06</w:t>
            </w:r>
          </w:p>
        </w:tc>
        <w:tc>
          <w:tcPr>
            <w:tcW w:type="dxa" w:w="1278"/>
          </w:tcPr>
          <w:p>
            <w:r/>
            <w:r>
              <w:rPr>
                <w:b w:val="0"/>
                <w:sz w:val="18"/>
              </w:rPr>
              <w:t>Collaborative / Parent</w:t>
            </w:r>
          </w:p>
        </w:tc>
        <w:tc>
          <w:tcPr>
            <w:tcW w:type="dxa" w:w="1278"/>
          </w:tcPr>
          <w:p>
            <w:r/>
            <w:r>
              <w:rPr>
                <w:b w:val="0"/>
                <w:sz w:val="18"/>
              </w:rPr>
              <w:t>Client strategy</w:t>
            </w:r>
          </w:p>
        </w:tc>
        <w:tc>
          <w:tcPr>
            <w:tcW w:type="dxa" w:w="1278"/>
          </w:tcPr>
          <w:p>
            <w:r/>
            <w:r>
              <w:rPr>
                <w:b w:val="0"/>
                <w:sz w:val="18"/>
              </w:rPr>
              <w:t>To add</w:t>
            </w:r>
          </w:p>
        </w:tc>
        <w:tc>
          <w:tcPr>
            <w:tcW w:type="dxa" w:w="1278"/>
          </w:tcPr>
          <w:p>
            <w:r/>
            <w:r>
              <w:rPr>
                <w:b w:val="0"/>
                <w:sz w:val="18"/>
              </w:rPr>
              <w:t>Child positioning, family optionality</w:t>
            </w:r>
          </w:p>
        </w:tc>
        <w:tc>
          <w:tcPr>
            <w:tcW w:type="dxa" w:w="1278"/>
          </w:tcPr>
          <w:p>
            <w:r/>
            <w:r>
              <w:rPr>
                <w:b w:val="0"/>
                <w:sz w:val="18"/>
              </w:rPr>
              <w:t>TBC</w:t>
            </w:r>
          </w:p>
        </w:tc>
      </w:tr>
      <w:tr>
        <w:tc>
          <w:tcPr>
            <w:tcW w:type="dxa" w:w="1278"/>
          </w:tcPr>
          <w:p>
            <w:r/>
            <w:r>
              <w:rPr>
                <w:b w:val="0"/>
                <w:sz w:val="18"/>
              </w:rPr>
              <w:t>Mash-up Strategy Case</w:t>
            </w:r>
          </w:p>
        </w:tc>
        <w:tc>
          <w:tcPr>
            <w:tcW w:type="dxa" w:w="1278"/>
          </w:tcPr>
          <w:p>
            <w:r/>
            <w:r>
              <w:rPr>
                <w:b w:val="0"/>
                <w:sz w:val="18"/>
              </w:rPr>
              <w:t>Levels 2 + 4</w:t>
            </w:r>
          </w:p>
        </w:tc>
        <w:tc>
          <w:tcPr>
            <w:tcW w:type="dxa" w:w="1278"/>
          </w:tcPr>
          <w:p>
            <w:r/>
            <w:r>
              <w:rPr>
                <w:b w:val="0"/>
                <w:sz w:val="18"/>
              </w:rPr>
              <w:t>Mash-up</w:t>
            </w:r>
          </w:p>
        </w:tc>
        <w:tc>
          <w:tcPr>
            <w:tcW w:type="dxa" w:w="1278"/>
          </w:tcPr>
          <w:p>
            <w:r/>
            <w:r>
              <w:rPr>
                <w:b w:val="0"/>
                <w:sz w:val="18"/>
              </w:rPr>
              <w:t>Family Strategist</w:t>
            </w:r>
          </w:p>
        </w:tc>
        <w:tc>
          <w:tcPr>
            <w:tcW w:type="dxa" w:w="1278"/>
          </w:tcPr>
          <w:p>
            <w:r/>
            <w:r>
              <w:rPr>
                <w:b w:val="0"/>
                <w:sz w:val="18"/>
              </w:rPr>
              <w:t>Client strategy</w:t>
            </w:r>
          </w:p>
        </w:tc>
        <w:tc>
          <w:tcPr>
            <w:tcW w:type="dxa" w:w="1278"/>
          </w:tcPr>
          <w:p>
            <w:r/>
            <w:r>
              <w:rPr>
                <w:b w:val="0"/>
                <w:sz w:val="18"/>
              </w:rPr>
              <w:t>To add</w:t>
            </w:r>
          </w:p>
        </w:tc>
        <w:tc>
          <w:tcPr>
            <w:tcW w:type="dxa" w:w="1278"/>
          </w:tcPr>
          <w:p>
            <w:r/>
            <w:r>
              <w:rPr>
                <w:b w:val="0"/>
                <w:sz w:val="18"/>
              </w:rPr>
              <w:t>Parent + child dual pathway</w:t>
            </w:r>
          </w:p>
        </w:tc>
        <w:tc>
          <w:tcPr>
            <w:tcW w:type="dxa" w:w="1278"/>
          </w:tcPr>
          <w:p>
            <w:r/>
            <w:r>
              <w:rPr>
                <w:b w:val="0"/>
                <w:sz w:val="18"/>
              </w:rPr>
              <w:t>TBC</w:t>
            </w:r>
          </w:p>
        </w:tc>
      </w:tr>
    </w:tbl>
    <w:p>
      <w:pPr>
        <w:pStyle w:val="Heading1"/>
      </w:pPr>
      <w:r>
        <w:t>7. USAGE RULES</w:t>
      </w:r>
    </w:p>
    <w:p>
      <w:pPr>
        <w:pStyle w:val="ListBullet"/>
      </w:pPr>
      <w:r>
        <w:t>Never exaggerate an outcome or imply guaranteed returns.</w:t>
      </w:r>
    </w:p>
    <w:p>
      <w:pPr>
        <w:pStyle w:val="ListBullet"/>
      </w:pPr>
      <w:r>
        <w:t>Never reveal private client details without permission.</w:t>
      </w:r>
    </w:p>
    <w:p>
      <w:pPr>
        <w:pStyle w:val="ListBullet"/>
      </w:pPr>
      <w:r>
        <w:t>Always mark whether the case is public, anonymised, internal only, or approval required.</w:t>
      </w:r>
    </w:p>
    <w:p>
      <w:pPr>
        <w:pStyle w:val="ListBullet"/>
      </w:pPr>
      <w:r>
        <w:t>Every case study used in marketing must have a matching proof asset or clear source note.</w:t>
      </w:r>
    </w:p>
    <w:p>
      <w:pPr>
        <w:pStyle w:val="ListBullet"/>
      </w:pPr>
      <w:r>
        <w:t>Every case study used in consults must be relevant to the client belief block being addressed.</w:t>
      </w:r>
    </w:p>
    <w:p>
      <w:pPr>
        <w:pStyle w:val="ListBullet"/>
      </w:pPr>
      <w:r>
        <w:t>If a case study can support more than one Strategic Intent, state the different context clearly instead of forcing one story to mean everything.</w:t>
      </w:r>
    </w:p>
    <w:p>
      <w:pPr>
        <w:pStyle w:val="Heading1"/>
      </w:pPr>
      <w:r>
        <w:t>8. CONNECTION TO MAS SYSTEM</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
              <w:rPr>
                <w:b/>
                <w:sz w:val="18"/>
              </w:rPr>
              <w:t>Field</w:t>
            </w:r>
          </w:p>
        </w:tc>
        <w:tc>
          <w:tcPr>
            <w:tcW w:type="dxa" w:w="5112"/>
            <w:shd w:fill="D9EAF7"/>
          </w:tcPr>
          <w:p>
            <w:r/>
            <w:r>
              <w:rPr>
                <w:b/>
                <w:sz w:val="18"/>
              </w:rPr>
              <w:t>Purpose / Instruction</w:t>
            </w:r>
          </w:p>
        </w:tc>
      </w:tr>
      <w:tr>
        <w:tc>
          <w:tcPr>
            <w:tcW w:type="dxa" w:w="2592"/>
          </w:tcPr>
          <w:p>
            <w:r/>
            <w:r>
              <w:rPr>
                <w:b/>
                <w:sz w:val="18"/>
              </w:rPr>
              <w:t>Doc 13 Pattern Intelligence</w:t>
            </w:r>
          </w:p>
        </w:tc>
        <w:tc>
          <w:tcPr>
            <w:tcW w:type="dxa" w:w="6912"/>
          </w:tcPr>
          <w:p>
            <w:r/>
            <w:r>
              <w:rPr>
                <w:b w:val="0"/>
                <w:sz w:val="18"/>
              </w:rPr>
              <w:t>Case studies strengthen patterns and help identify repeatable advisory intelligence.</w:t>
            </w:r>
          </w:p>
        </w:tc>
      </w:tr>
      <w:tr>
        <w:tc>
          <w:tcPr>
            <w:tcW w:type="dxa" w:w="2592"/>
          </w:tcPr>
          <w:p>
            <w:r/>
            <w:r>
              <w:rPr>
                <w:b/>
                <w:sz w:val="18"/>
              </w:rPr>
              <w:t>Doc 17 Content Strategy</w:t>
            </w:r>
          </w:p>
        </w:tc>
        <w:tc>
          <w:tcPr>
            <w:tcW w:type="dxa" w:w="6912"/>
          </w:tcPr>
          <w:p>
            <w:r/>
            <w:r>
              <w:rPr>
                <w:b w:val="0"/>
                <w:sz w:val="18"/>
              </w:rPr>
              <w:t>Case studies become content topics and proof-led educational assets.</w:t>
            </w:r>
          </w:p>
        </w:tc>
      </w:tr>
      <w:tr>
        <w:tc>
          <w:tcPr>
            <w:tcW w:type="dxa" w:w="2592"/>
          </w:tcPr>
          <w:p>
            <w:r/>
            <w:r>
              <w:rPr>
                <w:b/>
                <w:sz w:val="18"/>
              </w:rPr>
              <w:t>Doc 18 Ad Angle Creative</w:t>
            </w:r>
          </w:p>
        </w:tc>
        <w:tc>
          <w:tcPr>
            <w:tcW w:type="dxa" w:w="6912"/>
          </w:tcPr>
          <w:p>
            <w:r/>
            <w:r>
              <w:rPr>
                <w:b w:val="0"/>
                <w:sz w:val="18"/>
              </w:rPr>
              <w:t>Case studies become ad angles, headlines, copy, visual concepts, and creative briefs.</w:t>
            </w:r>
          </w:p>
        </w:tc>
      </w:tr>
      <w:tr>
        <w:tc>
          <w:tcPr>
            <w:tcW w:type="dxa" w:w="2592"/>
          </w:tcPr>
          <w:p>
            <w:r/>
            <w:r>
              <w:rPr>
                <w:b/>
                <w:sz w:val="18"/>
              </w:rPr>
              <w:t>Doc 19 Video Scripting</w:t>
            </w:r>
          </w:p>
        </w:tc>
        <w:tc>
          <w:tcPr>
            <w:tcW w:type="dxa" w:w="6912"/>
          </w:tcPr>
          <w:p>
            <w:r/>
            <w:r>
              <w:rPr>
                <w:b w:val="0"/>
                <w:sz w:val="18"/>
              </w:rPr>
              <w:t>Case studies become short-form and long-form video proof segments.</w:t>
            </w:r>
          </w:p>
        </w:tc>
      </w:tr>
      <w:tr>
        <w:tc>
          <w:tcPr>
            <w:tcW w:type="dxa" w:w="2592"/>
          </w:tcPr>
          <w:p>
            <w:r/>
            <w:r>
              <w:rPr>
                <w:b/>
                <w:sz w:val="18"/>
              </w:rPr>
              <w:t>Doc 21 Reporting Performance</w:t>
            </w:r>
          </w:p>
        </w:tc>
        <w:tc>
          <w:tcPr>
            <w:tcW w:type="dxa" w:w="6912"/>
          </w:tcPr>
          <w:p>
            <w:r/>
            <w:r>
              <w:rPr>
                <w:b w:val="0"/>
                <w:sz w:val="18"/>
              </w:rPr>
              <w:t>Winning proof-led assets are identified through performance review.</w:t>
            </w:r>
          </w:p>
        </w:tc>
      </w:tr>
      <w:tr>
        <w:tc>
          <w:tcPr>
            <w:tcW w:type="dxa" w:w="2592"/>
          </w:tcPr>
          <w:p>
            <w:r/>
            <w:r>
              <w:rPr>
                <w:b/>
                <w:sz w:val="18"/>
              </w:rPr>
              <w:t>Doc 22 Asset Bank</w:t>
            </w:r>
          </w:p>
        </w:tc>
        <w:tc>
          <w:tcPr>
            <w:tcW w:type="dxa" w:w="6912"/>
          </w:tcPr>
          <w:p>
            <w:r/>
            <w:r>
              <w:rPr>
                <w:b w:val="0"/>
                <w:sz w:val="18"/>
              </w:rPr>
              <w:t>Proof assets are stored, organised, and reused from the Asset Bank.</w:t>
            </w:r>
          </w:p>
        </w:tc>
      </w:tr>
    </w:tbl>
    <w:p/>
    <w:p>
      <w:pPr>
        <w:pStyle w:val="Heading1"/>
      </w:pPr>
      <w:r>
        <w:t>9. MONTHLY CASE STUDY REVIEW</w:t>
      </w:r>
    </w:p>
    <w:p>
      <w:r>
        <w:t>Once per month, review new consults, wins, client messages, transactions, market examples, and content performance to identify new case study candidates. Add only cases that are useful, truthful, and reusable.</w:t>
      </w:r>
    </w:p>
    <w:p>
      <w:pPr>
        <w:pStyle w:val="ListBullet"/>
      </w:pPr>
      <w:r>
        <w:t>New client wins or decisions closed</w:t>
      </w:r>
    </w:p>
    <w:p>
      <w:pPr>
        <w:pStyle w:val="ListBullet"/>
      </w:pPr>
      <w:r>
        <w:t>Strong consult moments that shifted belief</w:t>
      </w:r>
    </w:p>
    <w:p>
      <w:pPr>
        <w:pStyle w:val="ListBullet"/>
      </w:pPr>
      <w:r>
        <w:t>Client messages that reveal trust or transformation</w:t>
      </w:r>
    </w:p>
    <w:p>
      <w:pPr>
        <w:pStyle w:val="ListBullet"/>
      </w:pPr>
      <w:r>
        <w:t>Property outcomes with clear proof</w:t>
      </w:r>
    </w:p>
    <w:p>
      <w:pPr>
        <w:pStyle w:val="ListBullet"/>
      </w:pPr>
      <w:r>
        <w:t>Market examples that validate MAS strategy</w:t>
      </w:r>
    </w:p>
    <w:p>
      <w:pPr>
        <w:pStyle w:val="ListBullet"/>
      </w:pPr>
      <w:r>
        <w:t>High-performing case-study-based ads or videos</w:t>
      </w:r>
    </w:p>
    <w:p>
      <w:pPr>
        <w:pStyle w:val="Heading1"/>
      </w:pPr>
      <w:r>
        <w:t>10. AI PROMPT TO GENERATE CASE STUDY ANGLES</w:t>
      </w:r>
    </w:p>
    <w:p>
      <w:r>
        <w:t>Use this prompt when turning a case study into marketing, sales, or training angles:</w:t>
      </w:r>
    </w:p>
    <w:p>
      <w:r>
        <w:rPr>
          <w:b/>
        </w:rPr>
        <w:t xml:space="preserve">PROMPT: </w:t>
      </w:r>
      <w:r>
        <w:t>Using the MAS Case Study Proof System, analyse this case study and generate multiple usable angles. Classify by Ascent Level, Strategic Intent, Buyer Profile, Consumer Psychology, Belief Block, and Awareness Stage. Create angles for Legacy Launch, Family Legacy, Mash-up, sales consult, webinar proof, and agent training where relevant. Do not exaggerate results. Flag missing proof or compliance concerns before generating final outputs.</w:t>
      </w:r>
    </w:p>
    <w:p>
      <w:pPr>
        <w:pStyle w:val="Heading1"/>
      </w:pPr>
      <w:r>
        <w:t>FINAL RULE</w:t>
      </w:r>
    </w:p>
    <w:p>
      <w:r>
        <w:t>Case studies are not random success stories. They are proof assets. Store them clearly, tag them properly, and use them to support the right belief shift at the right moment.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