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60"/>
        <w:jc w:val="center"/>
      </w:pPr>
      <w:r>
        <w:rPr>
          <w:rFonts w:ascii="Calibri" w:hAnsi="Calibri"/>
          <w:b/>
          <w:color w:val="A36B19"/>
          <w:sz w:val="22"/>
        </w:rPr>
        <w:t>PLAN DIRECTEUR</w:t>
      </w:r>
    </w:p>
    <w:p>
      <w:pPr>
        <w:pStyle w:val="Title"/>
        <w:jc w:val="center"/>
      </w:pPr>
      <w:r>
        <w:rPr>
          <w:rFonts w:ascii="Calibri" w:hAnsi="Calibri"/>
          <w:b/>
          <w:color w:val="24543B"/>
          <w:sz w:val="68"/>
        </w:rPr>
        <w:t>Natura</w:t>
      </w:r>
    </w:p>
    <w:p>
      <w:pPr>
        <w:pStyle w:val="Subtitle"/>
        <w:jc w:val="center"/>
      </w:pPr>
      <w:r>
        <w:rPr>
          <w:rFonts w:ascii="Calibri" w:hAnsi="Calibri"/>
          <w:color w:val="5F6B65"/>
          <w:sz w:val="30"/>
        </w:rPr>
        <w:t>Conception, développement local et préparation du lancement</w:t>
      </w:r>
    </w:p>
    <w:p>
      <w:pPr>
        <w:spacing w:before="160" w:after="520"/>
        <w:pBdr>
          <w:bottom w:val="single" w:sz="14" w:space="4" w:color="24543B"/>
        </w:pBdr>
      </w:pPr>
    </w:p>
    <w:p>
      <w:pPr>
        <w:spacing w:before="0" w:after="120" w:lineRule="auto" w:line="300"/>
        <w:jc w:val="center"/>
      </w:pPr>
      <w:r>
        <w:rPr>
          <w:rFonts w:ascii="Calibri" w:hAnsi="Calibri"/>
          <w:b/>
          <w:i w:val="0"/>
          <w:color w:val="24543B"/>
        </w:rPr>
        <w:t>Architecture retenue</w:t>
      </w:r>
    </w:p>
    <w:p>
      <w:pPr>
        <w:spacing w:before="0" w:after="640" w:lineRule="auto" w:line="300"/>
        <w:jc w:val="center"/>
      </w:pPr>
      <w:r>
        <w:rPr>
          <w:rFonts w:ascii="Calibri" w:hAnsi="Calibri"/>
          <w:b w:val="0"/>
          <w:i w:val="0"/>
          <w:color w:val="17231B"/>
        </w:rPr>
        <w:t>Next.js App Router + TypeScript + Tailwind CSS + Supabase local + PostgreSQL</w:t>
      </w:r>
    </w:p>
    <w:tbl>
      <w:tblPr>
        <w:tblW w:type="dxa" w:w="9360"/>
        <w:jc w:val="left"/>
        <w:tblLayout w:type="fixed"/>
        <w:tblLook w:firstColumn="1" w:firstRow="1" w:lastColumn="0" w:lastRow="0" w:noHBand="0" w:noVBand="1" w:val="04A0"/>
        <w:tblInd w:type="dxa" w:w="120"/>
      </w:tblPr>
      <w:tblGrid>
        <w:gridCol w:w="1800"/>
        <w:gridCol w:w="3960"/>
        <w:gridCol w:w="1200"/>
        <w:gridCol w:w="2400"/>
      </w:tblGrid>
      <w:tr>
        <w:trPr>
          <w:tblHeader w:val="true"/>
        </w:trPr>
        <w:tc>
          <w:tcPr>
            <w:tcW w:type="dxa" w:w="1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b/>
                <w:color w:val="1F4D78"/>
                <w:sz w:val="19"/>
              </w:rPr>
              <w:t>Document</w:t>
            </w:r>
          </w:p>
        </w:tc>
        <w:tc>
          <w:tcPr>
            <w:tcW w:type="dxa" w:w="39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b/>
                <w:color w:val="1F4D78"/>
                <w:sz w:val="19"/>
              </w:rPr>
              <w:t>Périmètre</w:t>
            </w:r>
          </w:p>
        </w:tc>
        <w:tc>
          <w:tcPr>
            <w:tcW w:type="dxa" w:w="12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b/>
                <w:color w:val="1F4D78"/>
                <w:sz w:val="19"/>
              </w:rPr>
              <w:t>Version</w:t>
            </w:r>
          </w:p>
        </w:tc>
        <w:tc>
          <w:tcPr>
            <w:tcW w:type="dxa" w:w="24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b/>
                <w:color w:val="1F4D78"/>
                <w:sz w:val="19"/>
              </w:rPr>
              <w:t>Date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color w:val="17231B"/>
                <w:sz w:val="18"/>
              </w:rPr>
              <w:t>Plan directeur</w:t>
            </w:r>
          </w:p>
        </w:tc>
        <w:tc>
          <w:tcPr>
            <w:tcW w:type="dxa" w:w="39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color w:val="17231B"/>
                <w:sz w:val="18"/>
              </w:rPr>
              <w:t>MVP local jusqu'au lancement</w:t>
            </w:r>
          </w:p>
        </w:tc>
        <w:tc>
          <w:tcPr>
            <w:tcW w:type="dxa" w:w="1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r>
              <w:t>1.1</w:t>
            </w:r>
          </w:p>
        </w:tc>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r>
              <w:t>2 août 2026</w:t>
            </w:r>
          </w:p>
        </w:tc>
      </w:tr>
    </w:tbl>
    <w:p>
      <w:pPr>
        <w:spacing w:after="40"/>
      </w:pPr>
    </w:p>
    <w:p>
      <w:pPr>
        <w:spacing w:before="440" w:after="120" w:lineRule="auto" w:line="300"/>
        <w:jc w:val="center"/>
      </w:pPr>
      <w:r>
        <w:rPr>
          <w:rFonts w:ascii="Calibri" w:hAnsi="Calibri"/>
          <w:b w:val="0"/>
          <w:i/>
          <w:color w:val="5F6B65"/>
        </w:rPr>
        <w:t>Ce document est la référence commune du propriétaire du projet et de son co-développeur. Il décrit les décisions, l'ordre des travaux, les critères de qualité et les conditions de lancement.</w:t>
      </w:r>
    </w:p>
    <w:p>
      <w:r>
        <w:br w:type="page"/>
      </w:r>
    </w:p>
    <w:p>
      <w:pPr>
        <w:pStyle w:val="Heading1"/>
        <w:keepNext/>
      </w:pPr>
      <w:r>
        <w:t>1. Résumé exécutif</w:t>
      </w:r>
    </w:p>
    <w:tbl>
      <w:tblPr>
        <w:tblW w:type="dxa" w:w="9360"/>
        <w:jc w:val="left"/>
        <w:tblLayout w:type="fixed"/>
        <w:tblLook w:firstColumn="1" w:firstRow="1" w:lastColumn="0" w:lastRow="0" w:noHBand="0" w:noVBand="1" w:val="04A0"/>
        <w:tblInd w:type="dxa" w:w="160"/>
      </w:tblPr>
      <w:tblGrid>
        <w:gridCol w:w="9360"/>
      </w:tblGrid>
      <w:tr>
        <w:trPr>
          <w:tblHeader w:val="true"/>
        </w:trPr>
        <w:tc>
          <w:tcPr>
            <w:tcW w:type="dxa" w:w="9360"/>
            <w:shd w:fill="EAF3ED"/>
            <w:tcBorders>
              <w:top w:val="single" w:sz="8" w:color="24543B"/>
              <w:left w:val="single" w:sz="8" w:color="24543B"/>
              <w:bottom w:val="single" w:sz="8" w:color="24543B"/>
              <w:right w:val="single" w:sz="8" w:color="24543B"/>
              <w:insideH w:val="single" w:sz="8" w:color="24543B"/>
              <w:insideV w:val="single" w:sz="8" w:color="24543B"/>
            </w:tcBorders>
            <w:tcMar>
              <w:top w:w="120" w:type="dxa"/>
              <w:bottom w:w="120" w:type="dxa"/>
              <w:start w:w="160" w:type="dxa"/>
              <w:end w:w="160" w:type="dxa"/>
            </w:tcMar>
          </w:tcPr>
          <w:p>
            <w:pPr>
              <w:spacing w:after="0" w:lineRule="auto" w:line="288"/>
            </w:pPr>
            <w:r>
              <w:rPr>
                <w:rFonts w:ascii="Calibri" w:hAnsi="Calibri"/>
                <w:b/>
                <w:color w:val="24543B"/>
              </w:rPr>
              <w:t xml:space="preserve">Décision de référence  </w:t>
            </w:r>
            <w:r>
              <w:rPr>
                <w:rFonts w:ascii="Calibri" w:hAnsi="Calibri"/>
                <w:color w:val="17231B"/>
              </w:rPr>
              <w:t>Natura sera d'abord construit et testé localement avec Next.js, TypeScript, Tailwind CSS et Supabase local. Le choix de l'hébergement public sera pris après validation du produit, de ses performances et de ses besoins réels.</w:t>
            </w:r>
          </w:p>
        </w:tc>
      </w:tr>
    </w:tbl>
    <w:p>
      <w:pPr>
        <w:spacing w:after="20"/>
      </w:pPr>
    </w:p>
    <w:p>
      <w:pPr>
        <w:spacing w:before="0" w:after="120" w:lineRule="auto" w:line="300"/>
      </w:pPr>
      <w:r>
        <w:rPr>
          <w:rFonts w:ascii="Calibri" w:hAnsi="Calibri"/>
          <w:b w:val="0"/>
          <w:i w:val="0"/>
          <w:color w:val="17231B"/>
        </w:rPr>
        <w:t>Natura est une plateforme éditoriale anglophone dédiée au jardinage pratique, avec un accent sur les balcons, patios, contenants et petits espaces. Les États-Unis constituent le marché de référence initial, sans empêcher une audience internationale.</w:t>
      </w:r>
    </w:p>
    <w:p>
      <w:pPr>
        <w:spacing w:before="0" w:after="120" w:lineRule="auto" w:line="300"/>
      </w:pPr>
      <w:r>
        <w:rPr>
          <w:rFonts w:ascii="Calibri" w:hAnsi="Calibri"/>
          <w:b w:val="0"/>
          <w:i w:val="0"/>
          <w:color w:val="17231B"/>
        </w:rPr>
        <w:t>Le projet combine trois produits dans une même application : un site éditorial indexable, des outils interactifs et une interface privée de gestion de contenu. La priorité est de produire un socle durable, sécurisé et transportable vers plusieurs solutions d'hébergement.</w:t>
      </w:r>
    </w:p>
    <w:p>
      <w:pPr>
        <w:pStyle w:val="Heading2"/>
        <w:keepNext/>
      </w:pPr>
      <w:r>
        <w:t>1.1 Objectifs du premier lancement</w:t>
      </w:r>
    </w:p>
    <w:p>
      <w:pPr>
        <w:numPr>
          <w:ilvl w:val="0"/>
          <w:numId w:val="10"/>
        </w:numPr>
        <w:spacing w:after="80" w:lineRule="auto" w:line="300"/>
      </w:pPr>
      <w:r>
        <w:rPr>
          <w:rFonts w:ascii="Calibri" w:hAnsi="Calibri"/>
          <w:color w:val="17231B"/>
        </w:rPr>
        <w:t>Publier une expérience rapide, accessible et utilisable sur mobile, tablette et ordinateur.</w:t>
      </w:r>
    </w:p>
    <w:p>
      <w:pPr>
        <w:numPr>
          <w:ilvl w:val="0"/>
          <w:numId w:val="10"/>
        </w:numPr>
        <w:spacing w:after="80" w:lineRule="auto" w:line="300"/>
      </w:pPr>
      <w:r>
        <w:rPr>
          <w:rFonts w:ascii="Calibri" w:hAnsi="Calibri"/>
          <w:color w:val="17231B"/>
        </w:rPr>
        <w:t>Disposer d'une administration stable pour créer, relire, illustrer et publier les contenus.</w:t>
      </w:r>
    </w:p>
    <w:p>
      <w:pPr>
        <w:numPr>
          <w:ilvl w:val="0"/>
          <w:numId w:val="10"/>
        </w:numPr>
        <w:spacing w:after="80" w:lineRule="auto" w:line="300"/>
      </w:pPr>
      <w:r>
        <w:rPr>
          <w:rFonts w:ascii="Calibri" w:hAnsi="Calibri"/>
          <w:color w:val="17231B"/>
        </w:rPr>
        <w:t>Mettre en ligne des fiches de plantes, problèmes, guides, calendriers et outils apportant une valeur originale.</w:t>
      </w:r>
    </w:p>
    <w:p>
      <w:pPr>
        <w:numPr>
          <w:ilvl w:val="0"/>
          <w:numId w:val="10"/>
        </w:numPr>
        <w:spacing w:after="80" w:lineRule="auto" w:line="300"/>
      </w:pPr>
      <w:r>
        <w:rPr>
          <w:rFonts w:ascii="Calibri" w:hAnsi="Calibri"/>
          <w:color w:val="17231B"/>
        </w:rPr>
        <w:t>Préparer le référencement naturel, les données structurées et la mesure sans promettre de classement.</w:t>
      </w:r>
    </w:p>
    <w:p>
      <w:pPr>
        <w:numPr>
          <w:ilvl w:val="0"/>
          <w:numId w:val="10"/>
        </w:numPr>
        <w:spacing w:after="80" w:lineRule="auto" w:line="300"/>
      </w:pPr>
      <w:r>
        <w:rPr>
          <w:rFonts w:ascii="Calibri" w:hAnsi="Calibri"/>
          <w:color w:val="17231B"/>
        </w:rPr>
        <w:t>Conserver la liberté de choisir ultérieurement Vercel, Cloudflare, un serveur privé ou une autre plateforme compatible.</w:t>
      </w:r>
    </w:p>
    <w:p>
      <w:pPr>
        <w:pStyle w:val="Heading2"/>
        <w:keepNext/>
      </w:pPr>
      <w:r>
        <w:t>1.2 Définition de terminé pour le MVP</w:t>
      </w:r>
    </w:p>
    <w:tbl>
      <w:tblPr>
        <w:tblW w:type="dxa" w:w="9360"/>
        <w:jc w:val="left"/>
        <w:tblLayout w:type="fixed"/>
        <w:tblLook w:firstColumn="1" w:firstRow="1" w:lastColumn="0" w:lastRow="0" w:noHBand="0" w:noVBand="1" w:val="04A0"/>
        <w:tblInd w:type="dxa" w:w="120"/>
      </w:tblPr>
      <w:tblGrid>
        <w:gridCol w:w="2160"/>
        <w:gridCol w:w="7200"/>
      </w:tblGrid>
      <w:tr>
        <w:trPr>
          <w:tblHeader w:val="true"/>
        </w:trPr>
        <w:tc>
          <w:tcPr>
            <w:tcW w:type="dxa" w:w="21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Dimension</w:t>
            </w:r>
          </w:p>
        </w:tc>
        <w:tc>
          <w:tcPr>
            <w:tcW w:type="dxa" w:w="72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Condition de sortie</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Produit</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Navigation complète, recherche, pages éditoriales essentielles et 2 à 3 outils fiables.</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Contenu</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Environ 35 à 50 pages de grande qualité, toutes relues, sourcées et correctement reliées.</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Administration</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Création, modification, prévisualisation, publication et gestion des images protégées.</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Qualité</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Lint, vérification TypeScript, tests, build et parcours critiques sans erreur bloquante.</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SEO</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URLs stables, métadonnées, canonical, sitemap, robots, maillage et JSON-LD vérifiés.</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Sécurité</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RLS testée, accès administrateur contrôlé côté serveur, secrets absents du navigateur et de Git.</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Exploitation</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Sauvegarde, restauration, préproduction, suivi des erreurs et retour arrière documentés.</w:t>
            </w:r>
          </w:p>
        </w:tc>
      </w:tr>
    </w:tbl>
    <w:p>
      <w:pPr>
        <w:spacing w:after="40"/>
      </w:pPr>
    </w:p>
    <w:p>
      <w:r>
        <w:br w:type="page"/>
      </w:r>
    </w:p>
    <w:p>
      <w:pPr>
        <w:pStyle w:val="Heading1"/>
        <w:keepNext/>
      </w:pPr>
      <w:r>
        <w:t>2. Architecture cible</w:t>
      </w:r>
    </w:p>
    <w:p>
      <w:pPr>
        <w:pStyle w:val="Heading2"/>
        <w:keepNext/>
      </w:pPr>
      <w:r>
        <w:t>2.1 Composants retenus</w:t>
      </w:r>
    </w:p>
    <w:tbl>
      <w:tblPr>
        <w:tblW w:type="dxa" w:w="9360"/>
        <w:jc w:val="left"/>
        <w:tblLayout w:type="fixed"/>
        <w:tblLook w:firstColumn="1" w:firstRow="1" w:lastColumn="0" w:lastRow="0" w:noHBand="0" w:noVBand="1" w:val="04A0"/>
        <w:tblInd w:type="dxa" w:w="120"/>
      </w:tblPr>
      <w:tblGrid>
        <w:gridCol w:w="1800"/>
        <w:gridCol w:w="2700"/>
        <w:gridCol w:w="4860"/>
      </w:tblGrid>
      <w:tr>
        <w:trPr>
          <w:tblHeader w:val="true"/>
        </w:trPr>
        <w:tc>
          <w:tcPr>
            <w:tcW w:type="dxa" w:w="1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Couche</w:t>
            </w:r>
          </w:p>
        </w:tc>
        <w:tc>
          <w:tcPr>
            <w:tcW w:type="dxa" w:w="27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Technologie</w:t>
            </w:r>
          </w:p>
        </w:tc>
        <w:tc>
          <w:tcPr>
            <w:tcW w:type="dxa" w:w="48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Responsabilité</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Interface</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Next.js App Router</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Pages publiques, administration, rendu serveur, routes et cache.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Langage</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TypeScript strict</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Contrats de données et réduction des erreurs avant exécution.</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Présentation</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Tailwind CSS</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Système visuel responsive et composants cohérents.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Base</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PostgreSQL via Supabase local</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Contenus, relations, taxonomies, calendriers, auteurs et sources.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Authentification</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Supabase Auth</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Connexion des administrateurs et sessions sécurisées par cookies.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Fichiers</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Supabase Storage</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Images publiées, brouillons et règles de taille/type.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Backend</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Server Actions et Route Handlers</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Mutations internes, import/export et futurs webhooks.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Recherche</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PostgreSQL Full Text Search</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Recherche initiale sans service externe.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Développement</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Supabase CLI + moteur Docker</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Reproduction locale de la pile et des migrations.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Versionnement</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Git</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Historique, branches, revue des modifications et retour arrière.</w:t>
            </w:r>
          </w:p>
        </w:tc>
      </w:tr>
    </w:tbl>
    <w:p>
      <w:pPr>
        <w:spacing w:after="40"/>
      </w:pPr>
    </w:p>
    <w:p>
      <w:pPr>
        <w:pStyle w:val="Heading2"/>
        <w:keepNext/>
      </w:pPr>
      <w:r>
        <w:t>2.2 Principes d'architecture</w:t>
      </w:r>
    </w:p>
    <w:p>
      <w:pPr>
        <w:numPr>
          <w:ilvl w:val="0"/>
          <w:numId w:val="10"/>
        </w:numPr>
        <w:spacing w:after="80" w:lineRule="auto" w:line="300"/>
      </w:pPr>
      <w:r>
        <w:rPr>
          <w:rFonts w:ascii="Calibri" w:hAnsi="Calibri"/>
          <w:color w:val="17231B"/>
        </w:rPr>
        <w:t>Server Components par défaut : les données publiques sont lues et rendues côté serveur.</w:t>
      </w:r>
    </w:p>
    <w:p>
      <w:pPr>
        <w:numPr>
          <w:ilvl w:val="0"/>
          <w:numId w:val="10"/>
        </w:numPr>
        <w:spacing w:after="80" w:lineRule="auto" w:line="300"/>
      </w:pPr>
      <w:r>
        <w:rPr>
          <w:rFonts w:ascii="Calibri" w:hAnsi="Calibri"/>
          <w:color w:val="17231B"/>
        </w:rPr>
        <w:t>Client Components uniquement pour l'interactivité nécessitant un état navigateur.</w:t>
      </w:r>
    </w:p>
    <w:p>
      <w:pPr>
        <w:numPr>
          <w:ilvl w:val="0"/>
          <w:numId w:val="10"/>
        </w:numPr>
        <w:spacing w:after="80" w:lineRule="auto" w:line="300"/>
      </w:pPr>
      <w:r>
        <w:rPr>
          <w:rFonts w:ascii="Calibri" w:hAnsi="Calibri"/>
          <w:color w:val="17231B"/>
        </w:rPr>
        <w:t>Pages publiques statiques ou mises en cache, puis revalidées après une publication.</w:t>
      </w:r>
    </w:p>
    <w:p>
      <w:pPr>
        <w:numPr>
          <w:ilvl w:val="0"/>
          <w:numId w:val="10"/>
        </w:numPr>
        <w:spacing w:after="80" w:lineRule="auto" w:line="300"/>
      </w:pPr>
      <w:r>
        <w:rPr>
          <w:rFonts w:ascii="Calibri" w:hAnsi="Calibri"/>
          <w:color w:val="17231B"/>
        </w:rPr>
        <w:t>Accès aux données centralisé dans une couche serveur ; aucune clé privilégiée dans le navigateur.</w:t>
      </w:r>
    </w:p>
    <w:p>
      <w:pPr>
        <w:numPr>
          <w:ilvl w:val="0"/>
          <w:numId w:val="10"/>
        </w:numPr>
        <w:spacing w:after="80" w:lineRule="auto" w:line="300"/>
      </w:pPr>
      <w:r>
        <w:rPr>
          <w:rFonts w:ascii="Calibri" w:hAnsi="Calibri"/>
          <w:color w:val="17231B"/>
        </w:rPr>
        <w:t>Schéma SQL, migrations, politiques RLS et données de test versionnés avec le code.</w:t>
      </w:r>
    </w:p>
    <w:p>
      <w:pPr>
        <w:numPr>
          <w:ilvl w:val="0"/>
          <w:numId w:val="10"/>
        </w:numPr>
        <w:spacing w:after="80" w:lineRule="auto" w:line="300"/>
      </w:pPr>
      <w:r>
        <w:rPr>
          <w:rFonts w:ascii="Calibri" w:hAnsi="Calibri"/>
          <w:color w:val="17231B"/>
        </w:rPr>
        <w:t>Dépendances propres à un hébergeur évitées jusqu'à la décision de production.</w:t>
      </w:r>
    </w:p>
    <w:p>
      <w:pPr>
        <w:numPr>
          <w:ilvl w:val="0"/>
          <w:numId w:val="10"/>
        </w:numPr>
        <w:spacing w:after="80" w:lineRule="auto" w:line="300"/>
      </w:pPr>
      <w:r>
        <w:rPr>
          <w:rFonts w:ascii="Calibri" w:hAnsi="Calibri"/>
          <w:color w:val="17231B"/>
        </w:rPr>
        <w:t>Fonctionnalité complète développée verticalement avant multiplication des modèles de pages.</w:t>
      </w:r>
    </w:p>
    <w:p>
      <w:pPr>
        <w:pStyle w:val="Heading2"/>
        <w:keepNext/>
      </w:pPr>
      <w:r>
        <w:t>2.3 Arborescence cible</w:t>
      </w:r>
    </w:p>
    <w:p>
      <w:pPr>
        <w:spacing w:after="160" w:lineRule="auto" w:line="252"/>
      </w:pPr>
      <w:r>
        <w:rPr>
          <w:rFonts w:ascii="Consolas" w:hAnsi="Consolas"/>
          <w:color w:val="17231B"/>
          <w:sz w:val="19"/>
        </w:rPr>
        <w:t>app/                      routes publiques et administration</w:t>
        <w:br/>
        <w:t xml:space="preserve">  (site)/                 accueil, catégories, fiches, guides, outils</w:t>
        <w:br/>
        <w:t xml:space="preserve">  admin/                  interface privée</w:t>
        <w:br/>
        <w:t xml:space="preserve">  api/                    Route Handlers nécessaires</w:t>
        <w:br/>
        <w:t>components/               composants UI et métier</w:t>
        <w:br/>
        <w:t>features/                 modules plantes, problèmes, guides, recherche</w:t>
        <w:br/>
        <w:t>lib/                      clients Supabase, sécurité, SEO, validation</w:t>
        <w:br/>
        <w:t>supabase/                 configuration, schémas, migrations, seed, tests</w:t>
        <w:br/>
        <w:t>public/                   actifs statiques contrôlés</w:t>
        <w:br/>
        <w:t>tests/                    tests applicatifs et parcours navigateur</w:t>
        <w:br/>
        <w:t>docs/                     décisions techniques et procédures</w:t>
      </w:r>
    </w:p>
    <w:tbl>
      <w:tblPr>
        <w:tblW w:type="dxa" w:w="9360"/>
        <w:jc w:val="left"/>
        <w:tblLayout w:type="fixed"/>
        <w:tblLook w:firstColumn="1" w:firstRow="1" w:lastColumn="0" w:lastRow="0" w:noHBand="0" w:noVBand="1" w:val="04A0"/>
        <w:tblInd w:type="dxa" w:w="160"/>
      </w:tblPr>
      <w:tblGrid>
        <w:gridCol w:w="9360"/>
      </w:tblGrid>
      <w:tr>
        <w:trPr>
          <w:tblHeader w:val="true"/>
        </w:trPr>
        <w:tc>
          <w:tcPr>
            <w:tcW w:type="dxa" w:w="9360"/>
            <w:shd w:fill="FFF6E8"/>
            <w:tcBorders>
              <w:top w:val="single" w:sz="8" w:color="A36B19"/>
              <w:left w:val="single" w:sz="8" w:color="A36B19"/>
              <w:bottom w:val="single" w:sz="8" w:color="A36B19"/>
              <w:right w:val="single" w:sz="8" w:color="A36B19"/>
              <w:insideH w:val="single" w:sz="8" w:color="A36B19"/>
              <w:insideV w:val="single" w:sz="8" w:color="A36B19"/>
            </w:tcBorders>
            <w:tcMar>
              <w:top w:w="120" w:type="dxa"/>
              <w:bottom w:w="120" w:type="dxa"/>
              <w:start w:w="160" w:type="dxa"/>
              <w:end w:w="160" w:type="dxa"/>
            </w:tcMar>
          </w:tcPr>
          <w:p>
            <w:pPr>
              <w:spacing w:after="0" w:lineRule="auto" w:line="288"/>
            </w:pPr>
            <w:r>
              <w:rPr>
                <w:rFonts w:ascii="Calibri" w:hAnsi="Calibri"/>
                <w:b/>
                <w:color w:val="A36B19"/>
              </w:rPr>
              <w:t xml:space="preserve">Limite locale  </w:t>
            </w:r>
            <w:r>
              <w:rPr>
                <w:rFonts w:ascii="Calibri" w:hAnsi="Calibri"/>
                <w:color w:val="17231B"/>
              </w:rPr>
              <w:t>La pile Supabase locale n'est pas un serveur de production. Elle ne doit jamais être exposée directement à Internet. Une préproduction distante sera créée avant le lancement public.</w:t>
            </w:r>
          </w:p>
        </w:tc>
      </w:tr>
    </w:tbl>
    <w:p>
      <w:pPr>
        <w:spacing w:after="20"/>
      </w:pPr>
    </w:p>
    <w:p>
      <w:r>
        <w:br w:type="page"/>
      </w:r>
    </w:p>
    <w:p>
      <w:pPr>
        <w:pStyle w:val="Heading1"/>
        <w:keepNext/>
      </w:pPr>
      <w:r>
        <w:t>3. Modèle de contenu et base de données</w:t>
      </w:r>
    </w:p>
    <w:p>
      <w:pPr>
        <w:spacing w:before="0" w:after="120" w:lineRule="auto" w:line="300"/>
      </w:pPr>
      <w:r>
        <w:rPr>
          <w:rFonts w:ascii="Calibri" w:hAnsi="Calibri"/>
          <w:b w:val="0"/>
          <w:i w:val="0"/>
          <w:color w:val="17231B"/>
        </w:rPr>
        <w:t>Le modèle doit représenter le savoir horticole sans dupliquer les mêmes informations dans plusieurs pages. Les taxonomies et relations sont séparées des contenus éditoriaux afin de permettre la recherche, les calendriers et les recommandations.</w:t>
      </w:r>
    </w:p>
    <w:p>
      <w:pPr>
        <w:pStyle w:val="Heading2"/>
        <w:keepNext/>
      </w:pPr>
      <w:r>
        <w:t>3.1 Entités principales</w:t>
      </w:r>
    </w:p>
    <w:tbl>
      <w:tblPr>
        <w:tblW w:type="dxa" w:w="9360"/>
        <w:jc w:val="left"/>
        <w:tblLayout w:type="fixed"/>
        <w:tblLook w:firstColumn="1" w:firstRow="1" w:lastColumn="0" w:lastRow="0" w:noHBand="0" w:noVBand="1" w:val="04A0"/>
        <w:tblInd w:type="dxa" w:w="120"/>
      </w:tblPr>
      <w:tblGrid>
        <w:gridCol w:w="1800"/>
        <w:gridCol w:w="3000"/>
        <w:gridCol w:w="4560"/>
      </w:tblGrid>
      <w:tr>
        <w:trPr>
          <w:tblHeader w:val="true"/>
        </w:trPr>
        <w:tc>
          <w:tcPr>
            <w:tcW w:type="dxa" w:w="1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Entité</w:t>
            </w:r>
          </w:p>
        </w:tc>
        <w:tc>
          <w:tcPr>
            <w:tcW w:type="dxa" w:w="30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Rôle</w:t>
            </w:r>
          </w:p>
        </w:tc>
        <w:tc>
          <w:tcPr>
            <w:tcW w:type="dxa" w:w="45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Relations principales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Fiches de plantes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Catégories, zones, saisons, besoins, problèmes, images, sources.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plant_varieties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Variétés d'une plante</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Plante parente, caractéristiques et recommandations.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problems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Symptômes, ravageurs et maladies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Plantes concernées, diagnostics, traitements et sources.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guides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Articles et guides pratiques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Thèmes, plantes, auteurs, sources et contenus liés.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calendars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Règles de plantation</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Plantes, climats, zones, mois et types d'action.</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tools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Configuration des calculateurs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Règles, unités, textes d'aide et versions.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categories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Navigation et taxonomie</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Parent, ordre, slug, métadonnées et contenus liés.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sources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Références horticoles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URL, organisme, auteur, date, fiabilité et citations.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media</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Images et documents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Clé Storage, dimensions, texte alternatif, crédit et licence.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authors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Responsabilité éditoriale</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Profil, expertise et contenus publiés.</w:t>
            </w:r>
          </w:p>
        </w:tc>
      </w:tr>
    </w:tbl>
    <w:p>
      <w:pPr>
        <w:spacing w:after="40"/>
      </w:pPr>
    </w:p>
    <w:p>
      <w:pPr>
        <w:pStyle w:val="Heading2"/>
        <w:keepNext/>
      </w:pPr>
      <w:r>
        <w:t>3.2 Champs éditoriaux communs</w:t>
      </w:r>
    </w:p>
    <w:p>
      <w:pPr>
        <w:numPr>
          <w:ilvl w:val="0"/>
          <w:numId w:val="10"/>
        </w:numPr>
        <w:spacing w:after="80" w:lineRule="auto" w:line="300"/>
      </w:pPr>
      <w:r>
        <w:rPr>
          <w:rFonts w:ascii="Calibri" w:hAnsi="Calibri"/>
          <w:color w:val="17231B"/>
        </w:rPr>
        <w:t>Identité : UUID, type, titre, slug unique et langue.</w:t>
      </w:r>
    </w:p>
    <w:p>
      <w:pPr>
        <w:numPr>
          <w:ilvl w:val="0"/>
          <w:numId w:val="10"/>
        </w:numPr>
        <w:spacing w:after="80" w:lineRule="auto" w:line="300"/>
      </w:pPr>
      <w:r>
        <w:rPr>
          <w:rFonts w:ascii="Calibri" w:hAnsi="Calibri"/>
          <w:color w:val="17231B"/>
        </w:rPr>
        <w:t>Cycle : statut draft/review/published/archived, auteur, relecteur, dates de création, mise à jour et publication.</w:t>
      </w:r>
    </w:p>
    <w:p>
      <w:pPr>
        <w:numPr>
          <w:ilvl w:val="0"/>
          <w:numId w:val="10"/>
        </w:numPr>
        <w:spacing w:after="80" w:lineRule="auto" w:line="300"/>
      </w:pPr>
      <w:r>
        <w:rPr>
          <w:rFonts w:ascii="Calibri" w:hAnsi="Calibri"/>
          <w:color w:val="17231B"/>
        </w:rPr>
        <w:t>SEO : title, description, canonical éventuel, directives robots et image sociale.</w:t>
      </w:r>
    </w:p>
    <w:p>
      <w:pPr>
        <w:numPr>
          <w:ilvl w:val="0"/>
          <w:numId w:val="10"/>
        </w:numPr>
        <w:spacing w:after="80" w:lineRule="auto" w:line="300"/>
      </w:pPr>
      <w:r>
        <w:rPr>
          <w:rFonts w:ascii="Calibri" w:hAnsi="Calibri"/>
          <w:color w:val="17231B"/>
        </w:rPr>
        <w:t>Qualité : résumé, contenu structuré, sources, avertissements et date de vérification.</w:t>
      </w:r>
    </w:p>
    <w:p>
      <w:pPr>
        <w:numPr>
          <w:ilvl w:val="0"/>
          <w:numId w:val="10"/>
        </w:numPr>
        <w:spacing w:after="80" w:lineRule="auto" w:line="300"/>
      </w:pPr>
      <w:r>
        <w:rPr>
          <w:rFonts w:ascii="Calibri" w:hAnsi="Calibri"/>
          <w:color w:val="17231B"/>
        </w:rPr>
        <w:t>Publication : version, visibilité, date programmée et motif d'archivage.</w:t>
      </w:r>
    </w:p>
    <w:p>
      <w:pPr>
        <w:pStyle w:val="Heading2"/>
        <w:keepNext/>
      </w:pPr>
      <w:r>
        <w:t>3.3 Règles de migration et de sauvegarde</w:t>
      </w:r>
    </w:p>
    <w:p>
      <w:pPr>
        <w:numPr>
          <w:ilvl w:val="0"/>
          <w:numId w:val="11"/>
        </w:numPr>
        <w:spacing w:after="80" w:lineRule="auto" w:line="300"/>
      </w:pPr>
      <w:r>
        <w:rPr>
          <w:rFonts w:ascii="Calibri" w:hAnsi="Calibri"/>
          <w:color w:val="17231B"/>
        </w:rPr>
        <w:t>Toute modification du schéma passe par un fichier déclaratif ou une migration SQL relue.</w:t>
      </w:r>
    </w:p>
    <w:p>
      <w:pPr>
        <w:numPr>
          <w:ilvl w:val="0"/>
          <w:numId w:val="11"/>
        </w:numPr>
        <w:spacing w:after="80" w:lineRule="auto" w:line="300"/>
      </w:pPr>
      <w:r>
        <w:rPr>
          <w:rFonts w:ascii="Calibri" w:hAnsi="Calibri"/>
          <w:color w:val="17231B"/>
        </w:rPr>
        <w:t>Un reset local doit reconstruire intégralement la base et charger un jeu de données non sensible.</w:t>
      </w:r>
    </w:p>
    <w:p>
      <w:pPr>
        <w:numPr>
          <w:ilvl w:val="0"/>
          <w:numId w:val="11"/>
        </w:numPr>
        <w:spacing w:after="80" w:lineRule="auto" w:line="300"/>
      </w:pPr>
      <w:r>
        <w:rPr>
          <w:rFonts w:ascii="Calibri" w:hAnsi="Calibri"/>
          <w:color w:val="17231B"/>
        </w:rPr>
        <w:t>Les types TypeScript sont régénérés après chaque changement de schéma.</w:t>
      </w:r>
    </w:p>
    <w:p>
      <w:pPr>
        <w:numPr>
          <w:ilvl w:val="0"/>
          <w:numId w:val="11"/>
        </w:numPr>
        <w:spacing w:after="80" w:lineRule="auto" w:line="300"/>
      </w:pPr>
      <w:r>
        <w:rPr>
          <w:rFonts w:ascii="Calibri" w:hAnsi="Calibri"/>
          <w:color w:val="17231B"/>
        </w:rPr>
        <w:t>Les données de production ne sont jamais copiées telles quelles dans les données de démonstration.</w:t>
      </w:r>
    </w:p>
    <w:p>
      <w:pPr>
        <w:numPr>
          <w:ilvl w:val="0"/>
          <w:numId w:val="11"/>
        </w:numPr>
        <w:spacing w:after="80" w:lineRule="auto" w:line="300"/>
      </w:pPr>
      <w:r>
        <w:rPr>
          <w:rFonts w:ascii="Calibri" w:hAnsi="Calibri"/>
          <w:color w:val="17231B"/>
        </w:rPr>
        <w:t>Avant la mise en ligne, une procédure de sauvegarde et une restauration testée sont obligatoires.</w:t>
      </w:r>
    </w:p>
    <w:p>
      <w:r>
        <w:br w:type="page"/>
      </w:r>
    </w:p>
    <w:p>
      <w:pPr>
        <w:pStyle w:val="Heading1"/>
        <w:keepNext/>
      </w:pPr>
      <w:r>
        <w:t>4. Expérience publique</w:t>
      </w:r>
    </w:p>
    <w:p>
      <w:pPr>
        <w:pStyle w:val="Heading2"/>
        <w:keepNext/>
      </w:pPr>
      <w:r>
        <w:t>4.1 Navigation définitive</w:t>
      </w:r>
    </w:p>
    <w:tbl>
      <w:tblPr>
        <w:tblW w:type="dxa" w:w="9360"/>
        <w:jc w:val="left"/>
        <w:tblLayout w:type="fixed"/>
        <w:tblLook w:firstColumn="1" w:firstRow="1" w:lastColumn="0" w:lastRow="0" w:noHBand="0" w:noVBand="1" w:val="04A0"/>
        <w:tblInd w:type="dxa" w:w="120"/>
      </w:tblPr>
      <w:tblGrid>
        <w:gridCol w:w="2760"/>
        <w:gridCol w:w="6600"/>
      </w:tblGrid>
      <w:tr>
        <w:trPr>
          <w:tblHeader w:val="true"/>
        </w:trPr>
        <w:tc>
          <w:tcPr>
            <w:tcW w:type="dxa" w:w="27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Menu</w:t>
            </w:r>
          </w:p>
        </w:tc>
        <w:tc>
          <w:tcPr>
            <w:tcW w:type="dxa" w:w="66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Contenu prévu</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Grow</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Vegetables, Herbs, Fruits, Flowers, Growing from Seed, Plant Guides.</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Small-Space Gardening</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Balcony, Containers, Patio, Indoor, Renter-Friendly Gardening.</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 Care</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Watering, Soil &amp; Fertilizer, Pests, Diseases, Plant Problems, Seasonal Care.</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Planting Calendar</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What to Plant Now, By Climate, By Hardiness Zone, Monthly Calendars, Frost Dates.</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Tools</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 Finder, Planting Calendar, Watering Calculator, Pot Size Calculator, Garden Planner.</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Reviews</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Seeds, Containers, Soil &amp; Fertilizer, Watering Systems, Grow Lights, Garden Tools.</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Search</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Recherche globale par plante, problème, climat, guide ou outil.</w:t>
            </w:r>
          </w:p>
        </w:tc>
      </w:tr>
    </w:tbl>
    <w:p>
      <w:pPr>
        <w:spacing w:after="40"/>
      </w:pPr>
    </w:p>
    <w:p>
      <w:pPr>
        <w:pStyle w:val="Heading2"/>
        <w:keepNext/>
      </w:pPr>
      <w:r>
        <w:t>4.2 Gabarits à construire</w:t>
      </w:r>
    </w:p>
    <w:p>
      <w:pPr>
        <w:numPr>
          <w:ilvl w:val="0"/>
          <w:numId w:val="10"/>
        </w:numPr>
        <w:spacing w:after="80" w:lineRule="auto" w:line="300"/>
      </w:pPr>
      <w:r>
        <w:rPr>
          <w:rFonts w:ascii="Calibri" w:hAnsi="Calibri"/>
          <w:color w:val="17231B"/>
        </w:rPr>
        <w:t>Accueil : proposition de valeur, démarrage guidé, contenus saisonniers, outils et navigation par besoin.</w:t>
      </w:r>
    </w:p>
    <w:p>
      <w:pPr>
        <w:numPr>
          <w:ilvl w:val="0"/>
          <w:numId w:val="10"/>
        </w:numPr>
        <w:spacing w:after="80" w:lineRule="auto" w:line="300"/>
      </w:pPr>
      <w:r>
        <w:rPr>
          <w:rFonts w:ascii="Calibri" w:hAnsi="Calibri"/>
          <w:color w:val="17231B"/>
        </w:rPr>
        <w:t>Catégorie : introduction utile, sous-catégories, contenus recommandés et pagination maîtrisée.</w:t>
      </w:r>
    </w:p>
    <w:p>
      <w:pPr>
        <w:numPr>
          <w:ilvl w:val="0"/>
          <w:numId w:val="10"/>
        </w:numPr>
        <w:spacing w:after="80" w:lineRule="auto" w:line="300"/>
      </w:pPr>
      <w:r>
        <w:rPr>
          <w:rFonts w:ascii="Calibri" w:hAnsi="Calibri"/>
          <w:color w:val="17231B"/>
        </w:rPr>
        <w:t>Fiche de plante : résumé, conditions, calendrier, entretien, problèmes, culture en contenant et sources.</w:t>
      </w:r>
    </w:p>
    <w:p>
      <w:pPr>
        <w:numPr>
          <w:ilvl w:val="0"/>
          <w:numId w:val="10"/>
        </w:numPr>
        <w:spacing w:after="80" w:lineRule="auto" w:line="300"/>
      </w:pPr>
      <w:r>
        <w:rPr>
          <w:rFonts w:ascii="Calibri" w:hAnsi="Calibri"/>
          <w:color w:val="17231B"/>
        </w:rPr>
        <w:t>Problème : symptômes observables, causes possibles, diagnostic différentiel, solutions et prévention.</w:t>
      </w:r>
    </w:p>
    <w:p>
      <w:pPr>
        <w:numPr>
          <w:ilvl w:val="0"/>
          <w:numId w:val="10"/>
        </w:numPr>
        <w:spacing w:after="80" w:lineRule="auto" w:line="300"/>
      </w:pPr>
      <w:r>
        <w:rPr>
          <w:rFonts w:ascii="Calibri" w:hAnsi="Calibri"/>
          <w:color w:val="17231B"/>
        </w:rPr>
        <w:t>Guide : objectif, prérequis, étapes, erreurs fréquentes, adaptation aux petits espaces et références.</w:t>
      </w:r>
    </w:p>
    <w:p>
      <w:pPr>
        <w:numPr>
          <w:ilvl w:val="0"/>
          <w:numId w:val="10"/>
        </w:numPr>
        <w:spacing w:after="80" w:lineRule="auto" w:line="300"/>
      </w:pPr>
      <w:r>
        <w:rPr>
          <w:rFonts w:ascii="Calibri" w:hAnsi="Calibri"/>
          <w:color w:val="17231B"/>
        </w:rPr>
        <w:t>Calendrier : localisation ou zone, actions mensuelles, limites et explication de la méthode.</w:t>
      </w:r>
    </w:p>
    <w:p>
      <w:pPr>
        <w:numPr>
          <w:ilvl w:val="0"/>
          <w:numId w:val="10"/>
        </w:numPr>
        <w:spacing w:after="80" w:lineRule="auto" w:line="300"/>
      </w:pPr>
      <w:r>
        <w:rPr>
          <w:rFonts w:ascii="Calibri" w:hAnsi="Calibri"/>
          <w:color w:val="17231B"/>
        </w:rPr>
        <w:t>Outil : formulaire accessible, validation, résultat compréhensible, hypothèses et lien vers les guides associés.</w:t>
      </w:r>
    </w:p>
    <w:p>
      <w:pPr>
        <w:numPr>
          <w:ilvl w:val="0"/>
          <w:numId w:val="10"/>
        </w:numPr>
        <w:spacing w:after="80" w:lineRule="auto" w:line="300"/>
      </w:pPr>
      <w:r>
        <w:rPr>
          <w:rFonts w:ascii="Calibri" w:hAnsi="Calibri"/>
          <w:color w:val="17231B"/>
        </w:rPr>
        <w:t>Comparatif : méthodologie, critères, transparence commerciale, alternatives et date de mise à jour.</w:t>
      </w:r>
    </w:p>
    <w:p>
      <w:pPr>
        <w:pStyle w:val="Heading2"/>
        <w:keepNext/>
      </w:pPr>
      <w:r>
        <w:t>4.3 Système visuel initial</w:t>
      </w:r>
    </w:p>
    <w:p>
      <w:pPr>
        <w:spacing w:before="0" w:after="120" w:lineRule="auto" w:line="300"/>
      </w:pPr>
      <w:r>
        <w:rPr>
          <w:rFonts w:ascii="Calibri" w:hAnsi="Calibri"/>
          <w:b w:val="0"/>
          <w:i w:val="0"/>
          <w:color w:val="17231B"/>
        </w:rPr>
        <w:t>Le design utilisera une identité calme, naturelle et crédible : vert profond, tons végétaux légers, typographie très lisible, cartes aérées et photographies utiles. L'esthétique ne devra jamais masquer les informations pratiques.</w:t>
      </w:r>
    </w:p>
    <w:p>
      <w:pPr>
        <w:numPr>
          <w:ilvl w:val="0"/>
          <w:numId w:val="10"/>
        </w:numPr>
        <w:spacing w:after="80" w:lineRule="auto" w:line="300"/>
      </w:pPr>
      <w:r>
        <w:rPr>
          <w:rFonts w:ascii="Calibri" w:hAnsi="Calibri"/>
          <w:color w:val="17231B"/>
        </w:rPr>
        <w:t>Grille responsive avec priorité mobile.</w:t>
      </w:r>
    </w:p>
    <w:p>
      <w:pPr>
        <w:numPr>
          <w:ilvl w:val="0"/>
          <w:numId w:val="10"/>
        </w:numPr>
        <w:spacing w:after="80" w:lineRule="auto" w:line="300"/>
      </w:pPr>
      <w:r>
        <w:rPr>
          <w:rFonts w:ascii="Calibri" w:hAnsi="Calibri"/>
          <w:color w:val="17231B"/>
        </w:rPr>
        <w:t>Composants réutilisables : boutons, cartes, badges, champs, tableaux, alertes et navigation.</w:t>
      </w:r>
    </w:p>
    <w:p>
      <w:pPr>
        <w:numPr>
          <w:ilvl w:val="0"/>
          <w:numId w:val="10"/>
        </w:numPr>
        <w:spacing w:after="80" w:lineRule="auto" w:line="300"/>
      </w:pPr>
      <w:r>
        <w:rPr>
          <w:rFonts w:ascii="Calibri" w:hAnsi="Calibri"/>
          <w:color w:val="17231B"/>
        </w:rPr>
        <w:t>Contrastes conformes WCAG AA et focus clavier visible.</w:t>
      </w:r>
    </w:p>
    <w:p>
      <w:pPr>
        <w:numPr>
          <w:ilvl w:val="0"/>
          <w:numId w:val="10"/>
        </w:numPr>
        <w:spacing w:after="80" w:lineRule="auto" w:line="300"/>
      </w:pPr>
      <w:r>
        <w:rPr>
          <w:rFonts w:ascii="Calibri" w:hAnsi="Calibri"/>
          <w:color w:val="17231B"/>
        </w:rPr>
        <w:t>Images dimensionnées, formats modernes et texte alternatif obligatoire.</w:t>
      </w:r>
    </w:p>
    <w:p>
      <w:pPr>
        <w:numPr>
          <w:ilvl w:val="0"/>
          <w:numId w:val="10"/>
        </w:numPr>
        <w:spacing w:after="80" w:lineRule="auto" w:line="300"/>
      </w:pPr>
      <w:r>
        <w:rPr>
          <w:rFonts w:ascii="Calibri" w:hAnsi="Calibri"/>
          <w:color w:val="17231B"/>
        </w:rPr>
        <w:t>Animations rares, courtes et désactivables selon les préférences utilisateur.</w:t>
      </w:r>
    </w:p>
    <w:p>
      <w:r>
        <w:br w:type="page"/>
      </w:r>
    </w:p>
    <w:p>
      <w:pPr>
        <w:pStyle w:val="Heading1"/>
        <w:keepNext/>
      </w:pPr>
      <w:r>
        <w:t>5. Administration, authentification et sécurité</w:t>
      </w:r>
    </w:p>
    <w:p>
      <w:pPr>
        <w:pStyle w:val="Heading2"/>
        <w:keepNext/>
      </w:pPr>
      <w:r>
        <w:t>5.1 Fonctions de l'administration</w:t>
      </w:r>
    </w:p>
    <w:p>
      <w:pPr>
        <w:numPr>
          <w:ilvl w:val="0"/>
          <w:numId w:val="10"/>
        </w:numPr>
        <w:spacing w:after="80" w:lineRule="auto" w:line="300"/>
      </w:pPr>
      <w:r>
        <w:rPr>
          <w:rFonts w:ascii="Calibri" w:hAnsi="Calibri"/>
          <w:color w:val="17231B"/>
        </w:rPr>
        <w:t>Tableau de bord : contenus récents, brouillons, publications et alertes de qualité.</w:t>
      </w:r>
    </w:p>
    <w:p>
      <w:pPr>
        <w:numPr>
          <w:ilvl w:val="0"/>
          <w:numId w:val="10"/>
        </w:numPr>
        <w:spacing w:after="80" w:lineRule="auto" w:line="300"/>
      </w:pPr>
      <w:r>
        <w:rPr>
          <w:rFonts w:ascii="Calibri" w:hAnsi="Calibri"/>
          <w:color w:val="17231B"/>
        </w:rPr>
        <w:t>Éditeurs structurés pour plantes, problèmes, guides, calendriers et taxonomies.</w:t>
      </w:r>
    </w:p>
    <w:p>
      <w:pPr>
        <w:numPr>
          <w:ilvl w:val="0"/>
          <w:numId w:val="10"/>
        </w:numPr>
        <w:spacing w:after="80" w:lineRule="auto" w:line="300"/>
      </w:pPr>
      <w:r>
        <w:rPr>
          <w:rFonts w:ascii="Calibri" w:hAnsi="Calibri"/>
          <w:color w:val="17231B"/>
        </w:rPr>
        <w:t>Bibliothèque d'images avec aperçu, dimensions, crédit, licence et texte alternatif.</w:t>
      </w:r>
    </w:p>
    <w:p>
      <w:pPr>
        <w:numPr>
          <w:ilvl w:val="0"/>
          <w:numId w:val="10"/>
        </w:numPr>
        <w:spacing w:after="80" w:lineRule="auto" w:line="300"/>
      </w:pPr>
      <w:r>
        <w:rPr>
          <w:rFonts w:ascii="Calibri" w:hAnsi="Calibri"/>
          <w:color w:val="17231B"/>
        </w:rPr>
        <w:t>Prévisualisation d'une page avant publication.</w:t>
      </w:r>
    </w:p>
    <w:p>
      <w:pPr>
        <w:numPr>
          <w:ilvl w:val="0"/>
          <w:numId w:val="10"/>
        </w:numPr>
        <w:spacing w:after="80" w:lineRule="auto" w:line="300"/>
      </w:pPr>
      <w:r>
        <w:rPr>
          <w:rFonts w:ascii="Calibri" w:hAnsi="Calibri"/>
          <w:color w:val="17231B"/>
        </w:rPr>
        <w:t>Contrôles éditoriaux : slug, métadonnées, liens, sources et champs obligatoires.</w:t>
      </w:r>
    </w:p>
    <w:p>
      <w:pPr>
        <w:numPr>
          <w:ilvl w:val="0"/>
          <w:numId w:val="10"/>
        </w:numPr>
        <w:spacing w:after="80" w:lineRule="auto" w:line="300"/>
      </w:pPr>
      <w:r>
        <w:rPr>
          <w:rFonts w:ascii="Calibri" w:hAnsi="Calibri"/>
          <w:color w:val="17231B"/>
        </w:rPr>
        <w:t>Historique minimal des changements sensibles et journal des actions administratives.</w:t>
      </w:r>
    </w:p>
    <w:p>
      <w:pPr>
        <w:pStyle w:val="Heading2"/>
        <w:keepNext/>
      </w:pPr>
      <w:r>
        <w:t>5.2 Modèle d'autorisation</w:t>
      </w:r>
    </w:p>
    <w:tbl>
      <w:tblPr>
        <w:tblW w:type="dxa" w:w="9360"/>
        <w:jc w:val="left"/>
        <w:tblLayout w:type="fixed"/>
        <w:tblLook w:firstColumn="1" w:firstRow="1" w:lastColumn="0" w:lastRow="0" w:noHBand="0" w:noVBand="1" w:val="04A0"/>
        <w:tblInd w:type="dxa" w:w="120"/>
      </w:tblPr>
      <w:tblGrid>
        <w:gridCol w:w="1740"/>
        <w:gridCol w:w="2460"/>
        <w:gridCol w:w="2160"/>
        <w:gridCol w:w="3000"/>
      </w:tblGrid>
      <w:tr>
        <w:trPr>
          <w:tblHeader w:val="true"/>
        </w:trPr>
        <w:tc>
          <w:tcPr>
            <w:tcW w:type="dxa" w:w="174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Acteur</w:t>
            </w:r>
          </w:p>
        </w:tc>
        <w:tc>
          <w:tcPr>
            <w:tcW w:type="dxa" w:w="24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Lecture</w:t>
            </w:r>
          </w:p>
        </w:tc>
        <w:tc>
          <w:tcPr>
            <w:tcW w:type="dxa" w:w="21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Écriture</w:t>
            </w:r>
          </w:p>
        </w:tc>
        <w:tc>
          <w:tcPr>
            <w:tcW w:type="dxa" w:w="30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Contraintes</w:t>
            </w:r>
          </w:p>
        </w:tc>
      </w:tr>
      <w:tr>
        <w:trPr>
          <w:cantSplit/>
          <w:trHeight w:hRule="atLeast"/>
        </w:trPr>
        <w:tc>
          <w:tcPr>
            <w:tcW w:type="dxa" w:w="1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Visiteur anonyme</w:t>
            </w:r>
          </w:p>
        </w:tc>
        <w:tc>
          <w:tcPr>
            <w:tcW w:type="dxa" w:w="24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Contenu publié uniquement</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Aucune</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RLS, vues publiques et champs limités.</w:t>
            </w:r>
          </w:p>
        </w:tc>
      </w:tr>
      <w:tr>
        <w:trPr>
          <w:cantSplit/>
          <w:trHeight w:hRule="atLeast"/>
        </w:trPr>
        <w:tc>
          <w:tcPr>
            <w:tcW w:type="dxa" w:w="1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Administrateur</w:t>
            </w:r>
          </w:p>
        </w:tc>
        <w:tc>
          <w:tcPr>
            <w:tcW w:type="dxa" w:w="24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Tous les contenus autorisés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Création et mise à jour</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Session vérifiée côté serveur et rôle admin.</w:t>
            </w:r>
          </w:p>
        </w:tc>
      </w:tr>
      <w:tr>
        <w:trPr>
          <w:cantSplit/>
          <w:trHeight w:hRule="atLeast"/>
        </w:trPr>
        <w:tc>
          <w:tcPr>
            <w:tcW w:type="dxa" w:w="1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Service serveur</w:t>
            </w:r>
          </w:p>
        </w:tc>
        <w:tc>
          <w:tcPr>
            <w:tcW w:type="dxa" w:w="24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Selon le besoin</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Opérations privilégiées ciblées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Clé secrète jamais transmise au navigateur.</w:t>
            </w:r>
          </w:p>
        </w:tc>
      </w:tr>
    </w:tbl>
    <w:p>
      <w:pPr>
        <w:spacing w:after="40"/>
      </w:pPr>
    </w:p>
    <w:p>
      <w:pPr>
        <w:pStyle w:val="Heading2"/>
        <w:keepNext/>
      </w:pPr>
      <w:r>
        <w:t>5.3 Contrôles obligatoires</w:t>
      </w:r>
    </w:p>
    <w:p>
      <w:pPr>
        <w:numPr>
          <w:ilvl w:val="0"/>
          <w:numId w:val="10"/>
        </w:numPr>
        <w:spacing w:after="80" w:lineRule="auto" w:line="300"/>
      </w:pPr>
      <w:r>
        <w:rPr>
          <w:rFonts w:ascii="Calibri" w:hAnsi="Calibri"/>
          <w:color w:val="17231B"/>
        </w:rPr>
        <w:t>RLS activée et testée sur toutes les tables exposées par l'API de données.</w:t>
      </w:r>
    </w:p>
    <w:p>
      <w:pPr>
        <w:numPr>
          <w:ilvl w:val="0"/>
          <w:numId w:val="10"/>
        </w:numPr>
        <w:spacing w:after="80" w:lineRule="auto" w:line="300"/>
      </w:pPr>
      <w:r>
        <w:rPr>
          <w:rFonts w:ascii="Calibri" w:hAnsi="Calibri"/>
          <w:color w:val="17231B"/>
        </w:rPr>
        <w:t>Autorisation répétée dans chaque Server Action et Route Handler sensible.</w:t>
      </w:r>
    </w:p>
    <w:p>
      <w:pPr>
        <w:numPr>
          <w:ilvl w:val="0"/>
          <w:numId w:val="10"/>
        </w:numPr>
        <w:spacing w:after="80" w:lineRule="auto" w:line="300"/>
      </w:pPr>
      <w:r>
        <w:rPr>
          <w:rFonts w:ascii="Calibri" w:hAnsi="Calibri"/>
          <w:color w:val="17231B"/>
        </w:rPr>
        <w:t>Validation serveur de toutes les entrées avec schémas explicites.</w:t>
      </w:r>
    </w:p>
    <w:p>
      <w:pPr>
        <w:numPr>
          <w:ilvl w:val="0"/>
          <w:numId w:val="10"/>
        </w:numPr>
        <w:spacing w:after="80" w:lineRule="auto" w:line="300"/>
      </w:pPr>
      <w:r>
        <w:rPr>
          <w:rFonts w:ascii="Calibri" w:hAnsi="Calibri"/>
          <w:color w:val="17231B"/>
        </w:rPr>
        <w:t>Limites de taille et types MIME pour chaque espace de stockage.</w:t>
      </w:r>
    </w:p>
    <w:p>
      <w:pPr>
        <w:numPr>
          <w:ilvl w:val="0"/>
          <w:numId w:val="10"/>
        </w:numPr>
        <w:spacing w:after="80" w:lineRule="auto" w:line="300"/>
      </w:pPr>
      <w:r>
        <w:rPr>
          <w:rFonts w:ascii="Calibri" w:hAnsi="Calibri"/>
          <w:color w:val="17231B"/>
        </w:rPr>
        <w:t>Protection contre les slugs réservés, les contenus HTML dangereux et les redirections ouvertes.</w:t>
      </w:r>
    </w:p>
    <w:p>
      <w:pPr>
        <w:numPr>
          <w:ilvl w:val="0"/>
          <w:numId w:val="10"/>
        </w:numPr>
        <w:spacing w:after="80" w:lineRule="auto" w:line="300"/>
      </w:pPr>
      <w:r>
        <w:rPr>
          <w:rFonts w:ascii="Calibri" w:hAnsi="Calibri"/>
          <w:color w:val="17231B"/>
        </w:rPr>
        <w:t>Variables d'environnement documentées dans .env.example sans valeur secrète.</w:t>
      </w:r>
    </w:p>
    <w:p>
      <w:pPr>
        <w:numPr>
          <w:ilvl w:val="0"/>
          <w:numId w:val="10"/>
        </w:numPr>
        <w:spacing w:after="80" w:lineRule="auto" w:line="300"/>
      </w:pPr>
      <w:r>
        <w:rPr>
          <w:rFonts w:ascii="Calibri" w:hAnsi="Calibri"/>
          <w:color w:val="17231B"/>
        </w:rPr>
        <w:t>Aucune pile locale Supabase exposée sur un réseau public.</w:t>
      </w:r>
    </w:p>
    <w:tbl>
      <w:tblPr>
        <w:tblW w:type="dxa" w:w="9360"/>
        <w:jc w:val="left"/>
        <w:tblLayout w:type="fixed"/>
        <w:tblLook w:firstColumn="1" w:firstRow="1" w:lastColumn="0" w:lastRow="0" w:noHBand="0" w:noVBand="1" w:val="04A0"/>
        <w:tblInd w:type="dxa" w:w="160"/>
      </w:tblPr>
      <w:tblGrid>
        <w:gridCol w:w="9360"/>
      </w:tblGrid>
      <w:tr>
        <w:trPr>
          <w:tblHeader w:val="true"/>
        </w:trPr>
        <w:tc>
          <w:tcPr>
            <w:tcW w:type="dxa" w:w="9360"/>
            <w:shd w:fill="FDEEEE"/>
            <w:tcBorders>
              <w:top w:val="single" w:sz="8" w:color="9B1C1C"/>
              <w:left w:val="single" w:sz="8" w:color="9B1C1C"/>
              <w:bottom w:val="single" w:sz="8" w:color="9B1C1C"/>
              <w:right w:val="single" w:sz="8" w:color="9B1C1C"/>
              <w:insideH w:val="single" w:sz="8" w:color="9B1C1C"/>
              <w:insideV w:val="single" w:sz="8" w:color="9B1C1C"/>
            </w:tcBorders>
            <w:tcMar>
              <w:top w:w="120" w:type="dxa"/>
              <w:bottom w:w="120" w:type="dxa"/>
              <w:start w:w="160" w:type="dxa"/>
              <w:end w:w="160" w:type="dxa"/>
            </w:tcMar>
          </w:tcPr>
          <w:p>
            <w:pPr>
              <w:spacing w:after="0" w:lineRule="auto" w:line="288"/>
            </w:pPr>
            <w:r>
              <w:rPr>
                <w:rFonts w:ascii="Calibri" w:hAnsi="Calibri"/>
                <w:b/>
                <w:color w:val="9B1C1C"/>
              </w:rPr>
              <w:t xml:space="preserve">Principe  </w:t>
            </w:r>
            <w:r>
              <w:rPr>
                <w:rFonts w:ascii="Calibri" w:hAnsi="Calibri"/>
                <w:color w:val="17231B"/>
              </w:rPr>
              <w:t>Une URL /admin cachée n'est pas une protection. La session et le rôle doivent être vérifiés à chaque mutation et à chaque point d'entrée serveur.</w:t>
            </w:r>
          </w:p>
        </w:tc>
      </w:tr>
    </w:tbl>
    <w:p>
      <w:pPr>
        <w:spacing w:after="20"/>
      </w:pPr>
    </w:p>
    <w:p>
      <w:r>
        <w:br w:type="page"/>
      </w:r>
    </w:p>
    <w:p>
      <w:pPr>
        <w:pStyle w:val="Heading1"/>
        <w:keepNext/>
      </w:pPr>
      <w:r>
        <w:t>6. SEO, performance et mesure</w:t>
      </w:r>
    </w:p>
    <w:p>
      <w:pPr>
        <w:pStyle w:val="Heading2"/>
        <w:keepNext/>
      </w:pPr>
      <w:r>
        <w:t>6.1 Référencement technique</w:t>
      </w:r>
    </w:p>
    <w:p>
      <w:pPr>
        <w:numPr>
          <w:ilvl w:val="0"/>
          <w:numId w:val="10"/>
        </w:numPr>
        <w:spacing w:after="80" w:lineRule="auto" w:line="300"/>
      </w:pPr>
      <w:r>
        <w:rPr>
          <w:rFonts w:ascii="Calibri" w:hAnsi="Calibri"/>
          <w:color w:val="17231B"/>
        </w:rPr>
        <w:t>Une URL stable et indexable par contenu public.</w:t>
      </w:r>
    </w:p>
    <w:p>
      <w:pPr>
        <w:numPr>
          <w:ilvl w:val="0"/>
          <w:numId w:val="10"/>
        </w:numPr>
        <w:spacing w:after="80" w:lineRule="auto" w:line="300"/>
      </w:pPr>
      <w:r>
        <w:rPr>
          <w:rFonts w:ascii="Calibri" w:hAnsi="Calibri"/>
          <w:color w:val="17231B"/>
        </w:rPr>
        <w:t>Un title, une description et un canonical cohérents par page.</w:t>
      </w:r>
    </w:p>
    <w:p>
      <w:pPr>
        <w:numPr>
          <w:ilvl w:val="0"/>
          <w:numId w:val="10"/>
        </w:numPr>
        <w:spacing w:after="80" w:lineRule="auto" w:line="300"/>
      </w:pPr>
      <w:r>
        <w:rPr>
          <w:rFonts w:ascii="Calibri" w:hAnsi="Calibri"/>
          <w:color w:val="17231B"/>
        </w:rPr>
        <w:t>Un H1 unique, une hiérarchie de titres logique et un fil d'Ariane HTML.</w:t>
      </w:r>
    </w:p>
    <w:p>
      <w:pPr>
        <w:numPr>
          <w:ilvl w:val="0"/>
          <w:numId w:val="10"/>
        </w:numPr>
        <w:spacing w:after="80" w:lineRule="auto" w:line="300"/>
      </w:pPr>
      <w:r>
        <w:rPr>
          <w:rFonts w:ascii="Calibri" w:hAnsi="Calibri"/>
          <w:color w:val="17231B"/>
        </w:rPr>
        <w:t>Sitemap généré depuis les contenus publiés et robots.txt adapté à l'environnement.</w:t>
      </w:r>
    </w:p>
    <w:p>
      <w:pPr>
        <w:numPr>
          <w:ilvl w:val="0"/>
          <w:numId w:val="10"/>
        </w:numPr>
        <w:spacing w:after="80" w:lineRule="auto" w:line="300"/>
      </w:pPr>
      <w:r>
        <w:rPr>
          <w:rFonts w:ascii="Calibri" w:hAnsi="Calibri"/>
          <w:color w:val="17231B"/>
        </w:rPr>
        <w:t>Données structurées exactes : Organization, WebSite, BreadcrumbList, Article ou WebPage selon le cas.</w:t>
      </w:r>
    </w:p>
    <w:p>
      <w:pPr>
        <w:numPr>
          <w:ilvl w:val="0"/>
          <w:numId w:val="10"/>
        </w:numPr>
        <w:spacing w:after="80" w:lineRule="auto" w:line="300"/>
      </w:pPr>
      <w:r>
        <w:rPr>
          <w:rFonts w:ascii="Calibri" w:hAnsi="Calibri"/>
          <w:color w:val="17231B"/>
        </w:rPr>
        <w:t>Pages de filtres répétitives non indexées ou remplacées par des pages éditoriales utiles.</w:t>
      </w:r>
    </w:p>
    <w:p>
      <w:pPr>
        <w:numPr>
          <w:ilvl w:val="0"/>
          <w:numId w:val="10"/>
        </w:numPr>
        <w:spacing w:after="80" w:lineRule="auto" w:line="300"/>
      </w:pPr>
      <w:r>
        <w:rPr>
          <w:rFonts w:ascii="Calibri" w:hAnsi="Calibri"/>
          <w:color w:val="17231B"/>
        </w:rPr>
        <w:t>Liens internes contextuels entre plantes, problèmes, calendriers et guides.</w:t>
      </w:r>
    </w:p>
    <w:p>
      <w:pPr>
        <w:numPr>
          <w:ilvl w:val="0"/>
          <w:numId w:val="10"/>
        </w:numPr>
        <w:spacing w:after="80" w:lineRule="auto" w:line="300"/>
      </w:pPr>
      <w:r>
        <w:rPr>
          <w:rFonts w:ascii="Calibri" w:hAnsi="Calibri"/>
          <w:color w:val="17231B"/>
        </w:rPr>
        <w:t>Auteurs, sources, dates de vérification et méthodologie visibles.</w:t>
      </w:r>
    </w:p>
    <w:p>
      <w:pPr>
        <w:pStyle w:val="Heading2"/>
        <w:keepNext/>
      </w:pPr>
      <w:r>
        <w:t>6.2 Budgets de performance</w:t>
      </w:r>
    </w:p>
    <w:tbl>
      <w:tblPr>
        <w:tblW w:type="dxa" w:w="9360"/>
        <w:jc w:val="left"/>
        <w:tblLayout w:type="fixed"/>
        <w:tblLook w:firstColumn="1" w:firstRow="1" w:lastColumn="0" w:lastRow="0" w:noHBand="0" w:noVBand="1" w:val="04A0"/>
        <w:tblInd w:type="dxa" w:w="120"/>
      </w:tblPr>
      <w:tblGrid>
        <w:gridCol w:w="1800"/>
        <w:gridCol w:w="1800"/>
        <w:gridCol w:w="5760"/>
      </w:tblGrid>
      <w:tr>
        <w:trPr>
          <w:tblHeader w:val="true"/>
        </w:trPr>
        <w:tc>
          <w:tcPr>
            <w:tcW w:type="dxa" w:w="1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Mesure</w:t>
            </w:r>
          </w:p>
        </w:tc>
        <w:tc>
          <w:tcPr>
            <w:tcW w:type="dxa" w:w="1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Cible</w:t>
            </w:r>
          </w:p>
        </w:tc>
        <w:tc>
          <w:tcPr>
            <w:tcW w:type="dxa" w:w="57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Contrôle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LCP</w:t>
            </w:r>
          </w:p>
        </w:tc>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 2,5 s</w:t>
            </w:r>
          </w:p>
        </w:tc>
        <w:tc>
          <w:tcPr>
            <w:tcW w:type="dxa" w:w="5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Images prioritaires, rendu serveur, cache et mesure réelle.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INP</w:t>
            </w:r>
          </w:p>
        </w:tc>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 200 ms</w:t>
            </w:r>
          </w:p>
        </w:tc>
        <w:tc>
          <w:tcPr>
            <w:tcW w:type="dxa" w:w="5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JavaScript client limité et interactions simples.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CLS</w:t>
            </w:r>
          </w:p>
        </w:tc>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 0,1</w:t>
            </w:r>
          </w:p>
        </w:tc>
        <w:tc>
          <w:tcPr>
            <w:tcW w:type="dxa" w:w="5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Dimensions d'images, espaces publicitaires réservés et polices maîtrisées.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JavaScript</w:t>
            </w:r>
          </w:p>
        </w:tc>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Budget par gabarit</w:t>
            </w:r>
          </w:p>
        </w:tc>
        <w:tc>
          <w:tcPr>
            <w:tcW w:type="dxa" w:w="5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Analyse du bundle et refus des bibliothèques inutiles.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Images</w:t>
            </w:r>
          </w:p>
        </w:tc>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Formats modernes</w:t>
            </w:r>
          </w:p>
        </w:tc>
        <w:tc>
          <w:tcPr>
            <w:tcW w:type="dxa" w:w="5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WebP/AVIF, tailles adaptées et chargement différé hors écran.</w:t>
            </w:r>
          </w:p>
        </w:tc>
      </w:tr>
    </w:tbl>
    <w:p>
      <w:pPr>
        <w:spacing w:after="40"/>
      </w:pPr>
    </w:p>
    <w:p>
      <w:pPr>
        <w:pStyle w:val="Heading2"/>
        <w:keepNext/>
      </w:pPr>
      <w:r>
        <w:t>6.3 Mesure et publicité</w:t>
      </w:r>
    </w:p>
    <w:p>
      <w:pPr>
        <w:spacing w:before="0" w:after="120" w:lineRule="auto" w:line="300"/>
      </w:pPr>
      <w:r>
        <w:rPr>
          <w:rFonts w:ascii="Calibri" w:hAnsi="Calibri"/>
          <w:b w:val="0"/>
          <w:i w:val="0"/>
          <w:color w:val="17231B"/>
        </w:rPr>
        <w:t>Les emplacements publicitaires et événements de conversion seront préparés sans activer de publicité pendant la phase locale. GA4, Google Tag Manager, Consent Mode et Google Ads seront configurés sur la préproduction ou la production avec des données de test contrôlées.</w:t>
      </w:r>
    </w:p>
    <w:p>
      <w:pPr>
        <w:numPr>
          <w:ilvl w:val="0"/>
          <w:numId w:val="10"/>
        </w:numPr>
        <w:spacing w:after="80" w:lineRule="auto" w:line="300"/>
      </w:pPr>
      <w:r>
        <w:rPr>
          <w:rFonts w:ascii="Calibri" w:hAnsi="Calibri"/>
          <w:color w:val="17231B"/>
        </w:rPr>
        <w:t>Ne jamais charger une balise publicitaire en local par défaut.</w:t>
      </w:r>
    </w:p>
    <w:p>
      <w:pPr>
        <w:numPr>
          <w:ilvl w:val="0"/>
          <w:numId w:val="10"/>
        </w:numPr>
        <w:spacing w:after="80" w:lineRule="auto" w:line="300"/>
      </w:pPr>
      <w:r>
        <w:rPr>
          <w:rFonts w:ascii="Calibri" w:hAnsi="Calibri"/>
          <w:color w:val="17231B"/>
        </w:rPr>
        <w:t>Réserver l'espace des publicités pour éviter les décalages de mise en page.</w:t>
      </w:r>
    </w:p>
    <w:p>
      <w:pPr>
        <w:numPr>
          <w:ilvl w:val="0"/>
          <w:numId w:val="10"/>
        </w:numPr>
        <w:spacing w:after="80" w:lineRule="auto" w:line="300"/>
      </w:pPr>
      <w:r>
        <w:rPr>
          <w:rFonts w:ascii="Calibri" w:hAnsi="Calibri"/>
          <w:color w:val="17231B"/>
        </w:rPr>
        <w:t>Définir avant lancement les conversions utiles : inscription, téléchargement, clic affilié ou achat futur.</w:t>
      </w:r>
    </w:p>
    <w:p>
      <w:pPr>
        <w:numPr>
          <w:ilvl w:val="0"/>
          <w:numId w:val="10"/>
        </w:numPr>
        <w:spacing w:after="80" w:lineRule="auto" w:line="300"/>
      </w:pPr>
      <w:r>
        <w:rPr>
          <w:rFonts w:ascii="Calibri" w:hAnsi="Calibri"/>
          <w:color w:val="17231B"/>
        </w:rPr>
        <w:t>Séparer clairement Google Ads, destiné à acheter du trafic, et AdSense, destiné à monétiser des pages.</w:t>
      </w:r>
    </w:p>
    <w:p>
      <w:r>
        <w:br w:type="page"/>
      </w:r>
    </w:p>
    <w:p>
      <w:pPr>
        <w:pStyle w:val="Heading1"/>
        <w:keepNext/>
      </w:pPr>
      <w:r>
        <w:t>7. Stratégie de tests et qualité</w:t>
      </w:r>
    </w:p>
    <w:tbl>
      <w:tblPr>
        <w:tblW w:type="dxa" w:w="9360"/>
        <w:jc w:val="left"/>
        <w:tblLayout w:type="fixed"/>
        <w:tblLook w:firstColumn="1" w:firstRow="1" w:lastColumn="0" w:lastRow="0" w:noHBand="0" w:noVBand="1" w:val="04A0"/>
        <w:tblInd w:type="dxa" w:w="120"/>
      </w:tblPr>
      <w:tblGrid>
        <w:gridCol w:w="1560"/>
        <w:gridCol w:w="2640"/>
        <w:gridCol w:w="5160"/>
      </w:tblGrid>
      <w:tr>
        <w:trPr>
          <w:tblHeader w:val="true"/>
        </w:trPr>
        <w:tc>
          <w:tcPr>
            <w:tcW w:type="dxa" w:w="15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Niveau</w:t>
            </w:r>
          </w:p>
        </w:tc>
        <w:tc>
          <w:tcPr>
            <w:tcW w:type="dxa" w:w="264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Outil envisagé</w:t>
            </w:r>
          </w:p>
        </w:tc>
        <w:tc>
          <w:tcPr>
            <w:tcW w:type="dxa" w:w="51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Ce qui doit être vérifié</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Statique</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ESLint + TypeScript</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Conventions, erreurs de types, imports et code serveur/client.</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Unitaire</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Vitest</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Validation, transformations, règles d'outils et fonctions SEO.</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Base de données</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pgTAP / Supabase CLI</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Contraintes, fonctions, vues, permissions et politiques RLS.</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Composants</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Testing Library si nécessaire</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États critiques, accessibilité et interactions isolées.</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Navigation</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Playwright</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Connexion admin, publication, recherche et pages publiques.</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Performance</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Lighthouse</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Budgets, images, métadonnées et régressions.</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Build</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Next.js production build</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Compilation reproductible avant chaque livraison importante.</w:t>
            </w:r>
          </w:p>
        </w:tc>
      </w:tr>
    </w:tbl>
    <w:p>
      <w:pPr>
        <w:spacing w:after="40"/>
      </w:pPr>
    </w:p>
    <w:p>
      <w:pPr>
        <w:pStyle w:val="Heading2"/>
        <w:keepNext/>
      </w:pPr>
      <w:r>
        <w:t>7.1 Contrôle obligatoire après chaque lot</w:t>
      </w:r>
    </w:p>
    <w:p>
      <w:pPr>
        <w:numPr>
          <w:ilvl w:val="0"/>
          <w:numId w:val="11"/>
        </w:numPr>
        <w:spacing w:after="80" w:lineRule="auto" w:line="300"/>
      </w:pPr>
      <w:r>
        <w:rPr>
          <w:rFonts w:ascii="Calibri" w:hAnsi="Calibri"/>
          <w:color w:val="17231B"/>
        </w:rPr>
        <w:t>Formater et relire les fichiers modifiés.</w:t>
      </w:r>
    </w:p>
    <w:p>
      <w:pPr>
        <w:numPr>
          <w:ilvl w:val="0"/>
          <w:numId w:val="11"/>
        </w:numPr>
        <w:spacing w:after="80" w:lineRule="auto" w:line="300"/>
      </w:pPr>
      <w:r>
        <w:rPr>
          <w:rFonts w:ascii="Calibri" w:hAnsi="Calibri"/>
          <w:color w:val="17231B"/>
        </w:rPr>
        <w:t>Exécuter lint et vérification TypeScript.</w:t>
      </w:r>
    </w:p>
    <w:p>
      <w:pPr>
        <w:numPr>
          <w:ilvl w:val="0"/>
          <w:numId w:val="11"/>
        </w:numPr>
        <w:spacing w:after="80" w:lineRule="auto" w:line="300"/>
      </w:pPr>
      <w:r>
        <w:rPr>
          <w:rFonts w:ascii="Calibri" w:hAnsi="Calibri"/>
          <w:color w:val="17231B"/>
        </w:rPr>
        <w:t>Exécuter les tests concernés, puis les tests complets si le lot touche une couche partagée.</w:t>
      </w:r>
    </w:p>
    <w:p>
      <w:pPr>
        <w:numPr>
          <w:ilvl w:val="0"/>
          <w:numId w:val="11"/>
        </w:numPr>
        <w:spacing w:after="80" w:lineRule="auto" w:line="300"/>
      </w:pPr>
      <w:r>
        <w:rPr>
          <w:rFonts w:ascii="Calibri" w:hAnsi="Calibri"/>
          <w:color w:val="17231B"/>
        </w:rPr>
        <w:t>Construire l'application en mode production.</w:t>
      </w:r>
    </w:p>
    <w:p>
      <w:pPr>
        <w:numPr>
          <w:ilvl w:val="0"/>
          <w:numId w:val="11"/>
        </w:numPr>
        <w:spacing w:after="80" w:lineRule="auto" w:line="300"/>
      </w:pPr>
      <w:r>
        <w:rPr>
          <w:rFonts w:ascii="Calibri" w:hAnsi="Calibri"/>
          <w:color w:val="17231B"/>
        </w:rPr>
        <w:t>Vérifier visuellement les pages modifiées sur mobile et ordinateur.</w:t>
      </w:r>
    </w:p>
    <w:p>
      <w:pPr>
        <w:numPr>
          <w:ilvl w:val="0"/>
          <w:numId w:val="11"/>
        </w:numPr>
        <w:spacing w:after="80" w:lineRule="auto" w:line="300"/>
      </w:pPr>
      <w:r>
        <w:rPr>
          <w:rFonts w:ascii="Calibri" w:hAnsi="Calibri"/>
          <w:color w:val="17231B"/>
        </w:rPr>
        <w:t>Contrôler le diff Git et documenter toute décision nouvelle.</w:t>
      </w:r>
    </w:p>
    <w:p>
      <w:pPr>
        <w:pStyle w:val="Heading2"/>
        <w:keepNext/>
      </w:pPr>
      <w:r>
        <w:t>7.2 Critères d'acceptation d'une fonctionnalité</w:t>
      </w:r>
    </w:p>
    <w:p>
      <w:pPr>
        <w:numPr>
          <w:ilvl w:val="0"/>
          <w:numId w:val="10"/>
        </w:numPr>
        <w:spacing w:after="80" w:lineRule="auto" w:line="300"/>
      </w:pPr>
      <w:r>
        <w:rPr>
          <w:rFonts w:ascii="Calibri" w:hAnsi="Calibri"/>
          <w:color w:val="17231B"/>
        </w:rPr>
        <w:t>Le comportement attendu est décrit et testable.</w:t>
      </w:r>
    </w:p>
    <w:p>
      <w:pPr>
        <w:numPr>
          <w:ilvl w:val="0"/>
          <w:numId w:val="10"/>
        </w:numPr>
        <w:spacing w:after="80" w:lineRule="auto" w:line="300"/>
      </w:pPr>
      <w:r>
        <w:rPr>
          <w:rFonts w:ascii="Calibri" w:hAnsi="Calibri"/>
          <w:color w:val="17231B"/>
        </w:rPr>
        <w:t>Les états vide, chargement, erreur et succès sont gérés.</w:t>
      </w:r>
    </w:p>
    <w:p>
      <w:pPr>
        <w:numPr>
          <w:ilvl w:val="0"/>
          <w:numId w:val="10"/>
        </w:numPr>
        <w:spacing w:after="80" w:lineRule="auto" w:line="300"/>
      </w:pPr>
      <w:r>
        <w:rPr>
          <w:rFonts w:ascii="Calibri" w:hAnsi="Calibri"/>
          <w:color w:val="17231B"/>
        </w:rPr>
        <w:t>Le clavier et les lecteurs d'écran disposent de libellés utiles.</w:t>
      </w:r>
    </w:p>
    <w:p>
      <w:pPr>
        <w:numPr>
          <w:ilvl w:val="0"/>
          <w:numId w:val="10"/>
        </w:numPr>
        <w:spacing w:after="80" w:lineRule="auto" w:line="300"/>
      </w:pPr>
      <w:r>
        <w:rPr>
          <w:rFonts w:ascii="Calibri" w:hAnsi="Calibri"/>
          <w:color w:val="17231B"/>
        </w:rPr>
        <w:t>Aucun secret ni donnée sensible n'est exposé.</w:t>
      </w:r>
    </w:p>
    <w:p>
      <w:pPr>
        <w:numPr>
          <w:ilvl w:val="0"/>
          <w:numId w:val="10"/>
        </w:numPr>
        <w:spacing w:after="80" w:lineRule="auto" w:line="300"/>
      </w:pPr>
      <w:r>
        <w:rPr>
          <w:rFonts w:ascii="Calibri" w:hAnsi="Calibri"/>
          <w:color w:val="17231B"/>
        </w:rPr>
        <w:t>La page reste utilisable sans JavaScript lorsque la fonction le permet.</w:t>
      </w:r>
    </w:p>
    <w:p>
      <w:pPr>
        <w:numPr>
          <w:ilvl w:val="0"/>
          <w:numId w:val="10"/>
        </w:numPr>
        <w:spacing w:after="80" w:lineRule="auto" w:line="300"/>
      </w:pPr>
      <w:r>
        <w:rPr>
          <w:rFonts w:ascii="Calibri" w:hAnsi="Calibri"/>
          <w:color w:val="17231B"/>
        </w:rPr>
        <w:t>Les métadonnées et liens internes sont corrects pour une page publique.</w:t>
      </w:r>
    </w:p>
    <w:p>
      <w:pPr>
        <w:numPr>
          <w:ilvl w:val="0"/>
          <w:numId w:val="10"/>
        </w:numPr>
        <w:spacing w:after="80" w:lineRule="auto" w:line="300"/>
      </w:pPr>
      <w:r>
        <w:rPr>
          <w:rFonts w:ascii="Calibri" w:hAnsi="Calibri"/>
          <w:color w:val="17231B"/>
        </w:rPr>
        <w:t>La documentation d'utilisation ou d'exploitation est mise à jour.</w:t>
      </w:r>
    </w:p>
    <w:p>
      <w:r>
        <w:br w:type="page"/>
      </w:r>
    </w:p>
    <w:p>
      <w:pPr>
        <w:pStyle w:val="Heading1"/>
        <w:keepNext/>
      </w:pPr>
      <w:r>
        <w:t>8. Plan de réalisation par phases</w:t>
      </w:r>
    </w:p>
    <w:tbl>
      <w:tblPr>
        <w:tblW w:type="dxa" w:w="9360"/>
        <w:jc w:val="left"/>
        <w:tblLayout w:type="fixed"/>
        <w:tblLook w:firstColumn="1" w:firstRow="1" w:lastColumn="0" w:lastRow="0" w:noHBand="0" w:noVBand="1" w:val="04A0"/>
        <w:tblInd w:type="dxa" w:w="120"/>
      </w:tblPr>
      <w:tblGrid>
        <w:gridCol w:w="1500"/>
        <w:gridCol w:w="4980"/>
        <w:gridCol w:w="2880"/>
      </w:tblGrid>
      <w:tr>
        <w:trPr>
          <w:tblHeader w:val="true"/>
        </w:trPr>
        <w:tc>
          <w:tcPr>
            <w:tcW w:type="dxa" w:w="15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Phase</w:t>
            </w:r>
          </w:p>
        </w:tc>
        <w:tc>
          <w:tcPr>
            <w:tcW w:type="dxa" w:w="49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Travaux principaux</w:t>
            </w:r>
          </w:p>
        </w:tc>
        <w:tc>
          <w:tcPr>
            <w:tcW w:type="dxa" w:w="28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Condition de sortie</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0. Fondation</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Dépôt Git, Next.js, règles du projet, qualité, configuration locale et documentation.</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Application démarre et le build passe.</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1. Design system</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Tokens, layout, en-tête, pied de page, navigation, composants et responsive.</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Accueil et pages de démonstration cohérentes.</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2. Données</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Schéma PostgreSQL, migrations, seed, types générés, recherche et tests RLS.</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Base reproductible par une seule procédure.</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3. Administration</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Connexion, rôles, tableau de bord, éditeurs, médias, aperçu et publication.</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Un administrateur publie une fiche complète.</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4. Verticale plante</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Fiche, catégorie, relations, images, sources, SEO et liens internes.</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Parcours plante complet et testé.</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5. Autres contenus</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Problèmes, guides, petits espaces, calendriers et taxonomies.</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Tous les gabarits éditoriaux disponibles.</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6. Outils</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 Finder, calendrier, calculateur d'arrosage ou taille de pot.</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Deux ou trois outils fiables et accessibles.</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7. Recherche</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Index PostgreSQL, pertinence, suggestions, filtres et page sans résultat.</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Recherche utile sur les contenus publiés.</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8. SEO et qualité</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Métadonnées, sitemap, robots, JSON-LD, accessibilité et performance.</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Aucune erreur critique dans les audits.</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9. Préproduction</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Hébergement pilote, domaine temporaire, HTTPS, e-mails, sauvegarde et monitoring.</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Parcours réels validés hors localhost.</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10. Lancement</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Domaine, indexation, analytique, procédures et retour arrière.</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Production stable et surveillée.</w:t>
            </w:r>
          </w:p>
        </w:tc>
      </w:tr>
    </w:tbl>
    <w:p>
      <w:pPr>
        <w:spacing w:after="40"/>
      </w:pPr>
    </w:p>
    <w:p>
      <w:pPr>
        <w:pStyle w:val="Heading2"/>
        <w:keepNext/>
      </w:pPr>
      <w:r>
        <w:t>8.1 Ordre de développement vertical</w:t>
      </w:r>
    </w:p>
    <w:p>
      <w:pPr>
        <w:numPr>
          <w:ilvl w:val="0"/>
          <w:numId w:val="11"/>
        </w:numPr>
        <w:spacing w:after="80" w:lineRule="auto" w:line="300"/>
      </w:pPr>
      <w:r>
        <w:rPr>
          <w:rFonts w:ascii="Calibri" w:hAnsi="Calibri"/>
          <w:color w:val="17231B"/>
        </w:rPr>
        <w:t>Construire une fiche de plante complète avec une donnée de démonstration.</w:t>
      </w:r>
    </w:p>
    <w:p>
      <w:pPr>
        <w:numPr>
          <w:ilvl w:val="0"/>
          <w:numId w:val="11"/>
        </w:numPr>
        <w:spacing w:after="80" w:lineRule="auto" w:line="300"/>
      </w:pPr>
      <w:r>
        <w:rPr>
          <w:rFonts w:ascii="Calibri" w:hAnsi="Calibri"/>
          <w:color w:val="17231B"/>
        </w:rPr>
        <w:t>Ajouter l'édition et la publication de cette fiche dans /admin.</w:t>
      </w:r>
    </w:p>
    <w:p>
      <w:pPr>
        <w:numPr>
          <w:ilvl w:val="0"/>
          <w:numId w:val="11"/>
        </w:numPr>
        <w:spacing w:after="80" w:lineRule="auto" w:line="300"/>
      </w:pPr>
      <w:r>
        <w:rPr>
          <w:rFonts w:ascii="Calibri" w:hAnsi="Calibri"/>
          <w:color w:val="17231B"/>
        </w:rPr>
        <w:t>Ajouter ses images, sources, métadonnées, JSON-LD et liens internes.</w:t>
      </w:r>
    </w:p>
    <w:p>
      <w:pPr>
        <w:numPr>
          <w:ilvl w:val="0"/>
          <w:numId w:val="11"/>
        </w:numPr>
        <w:spacing w:after="80" w:lineRule="auto" w:line="300"/>
      </w:pPr>
      <w:r>
        <w:rPr>
          <w:rFonts w:ascii="Calibri" w:hAnsi="Calibri"/>
          <w:color w:val="17231B"/>
        </w:rPr>
        <w:t>Tester la sécurité, le rendu mobile, la performance et le build.</w:t>
      </w:r>
    </w:p>
    <w:p>
      <w:pPr>
        <w:numPr>
          <w:ilvl w:val="0"/>
          <w:numId w:val="11"/>
        </w:numPr>
        <w:spacing w:after="80" w:lineRule="auto" w:line="300"/>
      </w:pPr>
      <w:r>
        <w:rPr>
          <w:rFonts w:ascii="Calibri" w:hAnsi="Calibri"/>
          <w:color w:val="17231B"/>
        </w:rPr>
        <w:t>Réutiliser les composants validés pour les autres types de contenu.</w:t>
      </w:r>
    </w:p>
    <w:p>
      <w:r>
        <w:br w:type="page"/>
      </w:r>
    </w:p>
    <w:p>
      <w:pPr>
        <w:pStyle w:val="Heading1"/>
        <w:keepNext/>
      </w:pPr>
      <w:r>
        <w:t>9. Plan de contenu du lancement</w:t>
      </w:r>
    </w:p>
    <w:tbl>
      <w:tblPr>
        <w:tblW w:type="dxa" w:w="9360"/>
        <w:jc w:val="left"/>
        <w:tblLayout w:type="fixed"/>
        <w:tblLook w:firstColumn="1" w:firstRow="1" w:lastColumn="0" w:lastRow="0" w:noHBand="0" w:noVBand="1" w:val="04A0"/>
        <w:tblInd w:type="dxa" w:w="120"/>
      </w:tblPr>
      <w:tblGrid>
        <w:gridCol w:w="2400"/>
        <w:gridCol w:w="2160"/>
        <w:gridCol w:w="4800"/>
      </w:tblGrid>
      <w:tr>
        <w:trPr>
          <w:tblHeader w:val="true"/>
        </w:trPr>
        <w:tc>
          <w:tcPr>
            <w:tcW w:type="dxa" w:w="24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Famille</w:t>
            </w:r>
          </w:p>
        </w:tc>
        <w:tc>
          <w:tcPr>
            <w:tcW w:type="dxa" w:w="21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Volume indicatif</w:t>
            </w:r>
          </w:p>
        </w:tc>
        <w:tc>
          <w:tcPr>
            <w:tcW w:type="dxa" w:w="4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Priorité</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Fiches de plantes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15</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Plantes populaires adaptées aux contenants et petits espaces.</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Problèmes et diagnostics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10 à 15</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Symptômes fréquents avec diagnostics prudents et solutions fiables.</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Guides petits espaces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5 à 10</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Balcon, contenants, patio, intérieur et situations de location.</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Calendriers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Quelques pages pilotes</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Une méthode claire avant extension à toutes les zones.</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Outils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2 à 3</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Utiles, simples, transparents sur leurs hypothèses.</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Pages institutionnelles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Ensemble complet</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À propos, contact, auteurs, méthodologie, confidentialité et conditions.</w:t>
            </w:r>
          </w:p>
        </w:tc>
      </w:tr>
    </w:tbl>
    <w:p>
      <w:pPr>
        <w:spacing w:after="40"/>
      </w:pPr>
    </w:p>
    <w:p>
      <w:pPr>
        <w:spacing w:before="0" w:after="120" w:lineRule="auto" w:line="300"/>
      </w:pPr>
      <w:r>
        <w:rPr>
          <w:rFonts w:ascii="Calibri" w:hAnsi="Calibri"/>
          <w:b w:val="0"/>
          <w:i/>
          <w:color w:val="5F6B65"/>
        </w:rPr>
        <w:t>Le nombre de pages ne constitue pas à lui seul une condition de lancement. La cohérence, la qualité, la fiabilité, le maillage et la stabilité de l'administration restent prioritaires.</w:t>
      </w:r>
    </w:p>
    <w:p>
      <w:pPr>
        <w:pStyle w:val="Heading2"/>
        <w:keepNext/>
      </w:pPr>
      <w:r>
        <w:t>9.1 Workflow éditorial</w:t>
      </w:r>
    </w:p>
    <w:p>
      <w:pPr>
        <w:numPr>
          <w:ilvl w:val="0"/>
          <w:numId w:val="11"/>
        </w:numPr>
        <w:spacing w:after="80" w:lineRule="auto" w:line="300"/>
      </w:pPr>
      <w:r>
        <w:rPr>
          <w:rFonts w:ascii="Calibri" w:hAnsi="Calibri"/>
          <w:color w:val="17231B"/>
        </w:rPr>
        <w:t>Choisir l'intention et le besoin utilisateur.</w:t>
      </w:r>
    </w:p>
    <w:p>
      <w:pPr>
        <w:numPr>
          <w:ilvl w:val="0"/>
          <w:numId w:val="11"/>
        </w:numPr>
        <w:spacing w:after="80" w:lineRule="auto" w:line="300"/>
      </w:pPr>
      <w:r>
        <w:rPr>
          <w:rFonts w:ascii="Calibri" w:hAnsi="Calibri"/>
          <w:color w:val="17231B"/>
        </w:rPr>
        <w:t>Rassembler des sources horticoles crédibles.</w:t>
      </w:r>
    </w:p>
    <w:p>
      <w:pPr>
        <w:numPr>
          <w:ilvl w:val="0"/>
          <w:numId w:val="11"/>
        </w:numPr>
        <w:spacing w:after="80" w:lineRule="auto" w:line="300"/>
      </w:pPr>
      <w:r>
        <w:rPr>
          <w:rFonts w:ascii="Calibri" w:hAnsi="Calibri"/>
          <w:color w:val="17231B"/>
        </w:rPr>
        <w:t>Rédiger une version originale selon le gabarit Natura.</w:t>
      </w:r>
    </w:p>
    <w:p>
      <w:pPr>
        <w:numPr>
          <w:ilvl w:val="0"/>
          <w:numId w:val="11"/>
        </w:numPr>
        <w:spacing w:after="80" w:lineRule="auto" w:line="300"/>
      </w:pPr>
      <w:r>
        <w:rPr>
          <w:rFonts w:ascii="Calibri" w:hAnsi="Calibri"/>
          <w:color w:val="17231B"/>
        </w:rPr>
        <w:t>Ajouter images, crédits, alt text, métadonnées et relations.</w:t>
      </w:r>
    </w:p>
    <w:p>
      <w:pPr>
        <w:numPr>
          <w:ilvl w:val="0"/>
          <w:numId w:val="11"/>
        </w:numPr>
        <w:spacing w:after="80" w:lineRule="auto" w:line="300"/>
      </w:pPr>
      <w:r>
        <w:rPr>
          <w:rFonts w:ascii="Calibri" w:hAnsi="Calibri"/>
          <w:color w:val="17231B"/>
        </w:rPr>
        <w:t>Faire une relecture factuelle et éditoriale.</w:t>
      </w:r>
    </w:p>
    <w:p>
      <w:pPr>
        <w:numPr>
          <w:ilvl w:val="0"/>
          <w:numId w:val="11"/>
        </w:numPr>
        <w:spacing w:after="80" w:lineRule="auto" w:line="300"/>
      </w:pPr>
      <w:r>
        <w:rPr>
          <w:rFonts w:ascii="Calibri" w:hAnsi="Calibri"/>
          <w:color w:val="17231B"/>
        </w:rPr>
        <w:t>Prévisualiser sur mobile et ordinateur.</w:t>
      </w:r>
    </w:p>
    <w:p>
      <w:pPr>
        <w:numPr>
          <w:ilvl w:val="0"/>
          <w:numId w:val="11"/>
        </w:numPr>
        <w:spacing w:after="80" w:lineRule="auto" w:line="300"/>
      </w:pPr>
      <w:r>
        <w:rPr>
          <w:rFonts w:ascii="Calibri" w:hAnsi="Calibri"/>
          <w:color w:val="17231B"/>
        </w:rPr>
        <w:t>Publier, vérifier l'URL et surveiller les erreurs.</w:t>
      </w:r>
    </w:p>
    <w:p>
      <w:pPr>
        <w:numPr>
          <w:ilvl w:val="0"/>
          <w:numId w:val="11"/>
        </w:numPr>
        <w:spacing w:after="80" w:lineRule="auto" w:line="300"/>
      </w:pPr>
      <w:r>
        <w:rPr>
          <w:rFonts w:ascii="Calibri" w:hAnsi="Calibri"/>
          <w:color w:val="17231B"/>
        </w:rPr>
        <w:t>Mettre à jour selon une fréquence définie et conserver la date de vérification.</w:t>
      </w:r>
    </w:p>
    <w:p>
      <w:r>
        <w:br w:type="page"/>
      </w:r>
    </w:p>
    <w:p>
      <w:pPr>
        <w:pStyle w:val="Heading1"/>
        <w:keepNext/>
      </w:pPr>
      <w:r>
        <w:t>10. Préproduction, hébergement et lancement</w:t>
      </w:r>
    </w:p>
    <w:p>
      <w:pPr>
        <w:pStyle w:val="Heading2"/>
        <w:keepNext/>
      </w:pPr>
      <w:r>
        <w:t>10.1 Pourquoi une préproduction est obligatoire</w:t>
      </w:r>
    </w:p>
    <w:p>
      <w:pPr>
        <w:spacing w:before="0" w:after="120" w:lineRule="auto" w:line="300"/>
      </w:pPr>
      <w:r>
        <w:rPr>
          <w:rFonts w:ascii="Calibri" w:hAnsi="Calibri"/>
          <w:b w:val="0"/>
          <w:i w:val="0"/>
          <w:color w:val="17231B"/>
        </w:rPr>
        <w:t>Le développement local ne permet pas de valider HTTPS, domaine, e-mails d'authentification, URL publiques de stockage, cache CDN, redirections, analyse réseau ou configuration réelle des cookies. Une préproduction privée sera créée lorsque les parcours essentiels seront stables.</w:t>
      </w:r>
    </w:p>
    <w:p>
      <w:pPr>
        <w:pStyle w:val="Heading2"/>
        <w:keepNext/>
      </w:pPr>
      <w:r>
        <w:t>10.2 Comparaison à réaliser au moment du choix</w:t>
      </w:r>
    </w:p>
    <w:tbl>
      <w:tblPr>
        <w:tblW w:type="dxa" w:w="9360"/>
        <w:jc w:val="left"/>
        <w:tblLayout w:type="fixed"/>
        <w:tblLook w:firstColumn="1" w:firstRow="1" w:lastColumn="0" w:lastRow="0" w:noHBand="0" w:noVBand="1" w:val="04A0"/>
        <w:tblInd w:type="dxa" w:w="120"/>
      </w:tblPr>
      <w:tblGrid>
        <w:gridCol w:w="2280"/>
        <w:gridCol w:w="7080"/>
      </w:tblGrid>
      <w:tr>
        <w:trPr>
          <w:tblHeader w:val="true"/>
        </w:trPr>
        <w:tc>
          <w:tcPr>
            <w:tcW w:type="dxa" w:w="22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Critère</w:t>
            </w:r>
          </w:p>
        </w:tc>
        <w:tc>
          <w:tcPr>
            <w:tcW w:type="dxa" w:w="70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Questions à mesurer</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Compatibilité Next.js</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Server Components, revalidation, images, streaming et tâches serveur sont-ils supportés correctement ?</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Coût</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Quel coût pour le trafic, le calcul, le stockage, la base, les sauvegardes et les journaux ?</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Exploitation</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Déploiement, domaines, certificats, alertes, restauration et retour arrière sont-ils simples ?</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Portabilité</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Peut-on déplacer l'application et PostgreSQL sans réécriture importante ?</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Région</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La latence et les règles de traitement des données conviennent-elles au public visé ?</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Évolutivité</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Le service couvre-t-il la montée en charge sans complexité prématurée ?</w:t>
            </w:r>
          </w:p>
        </w:tc>
      </w:tr>
    </w:tbl>
    <w:p>
      <w:pPr>
        <w:spacing w:after="40"/>
      </w:pPr>
    </w:p>
    <w:p>
      <w:pPr>
        <w:pStyle w:val="Heading2"/>
        <w:keepNext/>
      </w:pPr>
      <w:r>
        <w:t>10.3 Checklist de lancement</w:t>
      </w:r>
    </w:p>
    <w:p>
      <w:pPr>
        <w:numPr>
          <w:ilvl w:val="0"/>
          <w:numId w:val="10"/>
        </w:numPr>
        <w:spacing w:after="80" w:lineRule="auto" w:line="300"/>
      </w:pPr>
      <w:r>
        <w:rPr>
          <w:rFonts w:ascii="Calibri" w:hAnsi="Calibri"/>
          <w:color w:val="17231B"/>
        </w:rPr>
        <w:t>Domaine, HTTPS, redirections et URL canonique vérifiés.</w:t>
      </w:r>
    </w:p>
    <w:p>
      <w:pPr>
        <w:numPr>
          <w:ilvl w:val="0"/>
          <w:numId w:val="10"/>
        </w:numPr>
        <w:spacing w:after="80" w:lineRule="auto" w:line="300"/>
      </w:pPr>
      <w:r>
        <w:rPr>
          <w:rFonts w:ascii="Calibri" w:hAnsi="Calibri"/>
          <w:color w:val="17231B"/>
        </w:rPr>
        <w:t>Sauvegarde produite et restauration testée.</w:t>
      </w:r>
    </w:p>
    <w:p>
      <w:pPr>
        <w:numPr>
          <w:ilvl w:val="0"/>
          <w:numId w:val="10"/>
        </w:numPr>
        <w:spacing w:after="80" w:lineRule="auto" w:line="300"/>
      </w:pPr>
      <w:r>
        <w:rPr>
          <w:rFonts w:ascii="Calibri" w:hAnsi="Calibri"/>
          <w:color w:val="17231B"/>
        </w:rPr>
        <w:t>Variables de production enregistrées dans un gestionnaire de secrets.</w:t>
      </w:r>
    </w:p>
    <w:p>
      <w:pPr>
        <w:numPr>
          <w:ilvl w:val="0"/>
          <w:numId w:val="10"/>
        </w:numPr>
        <w:spacing w:after="80" w:lineRule="auto" w:line="300"/>
      </w:pPr>
      <w:r>
        <w:rPr>
          <w:rFonts w:ascii="Calibri" w:hAnsi="Calibri"/>
          <w:color w:val="17231B"/>
        </w:rPr>
        <w:t>RLS et accès administrateur testés avec des cas négatifs.</w:t>
      </w:r>
    </w:p>
    <w:p>
      <w:pPr>
        <w:numPr>
          <w:ilvl w:val="0"/>
          <w:numId w:val="10"/>
        </w:numPr>
        <w:spacing w:after="80" w:lineRule="auto" w:line="300"/>
      </w:pPr>
      <w:r>
        <w:rPr>
          <w:rFonts w:ascii="Calibri" w:hAnsi="Calibri"/>
          <w:color w:val="17231B"/>
        </w:rPr>
        <w:t>Sitemap, robots.txt, métadonnées et JSON-LD validés.</w:t>
      </w:r>
    </w:p>
    <w:p>
      <w:pPr>
        <w:numPr>
          <w:ilvl w:val="0"/>
          <w:numId w:val="10"/>
        </w:numPr>
        <w:spacing w:after="80" w:lineRule="auto" w:line="300"/>
      </w:pPr>
      <w:r>
        <w:rPr>
          <w:rFonts w:ascii="Calibri" w:hAnsi="Calibri"/>
          <w:color w:val="17231B"/>
        </w:rPr>
        <w:t>Pages légales, contact, auteurs, sources et transparence commerciale publiés.</w:t>
      </w:r>
    </w:p>
    <w:p>
      <w:pPr>
        <w:numPr>
          <w:ilvl w:val="0"/>
          <w:numId w:val="10"/>
        </w:numPr>
        <w:spacing w:after="80" w:lineRule="auto" w:line="300"/>
      </w:pPr>
      <w:r>
        <w:rPr>
          <w:rFonts w:ascii="Calibri" w:hAnsi="Calibri"/>
          <w:color w:val="17231B"/>
        </w:rPr>
        <w:t>Performance mobile et accessibilité contrôlées.</w:t>
      </w:r>
    </w:p>
    <w:p>
      <w:pPr>
        <w:numPr>
          <w:ilvl w:val="0"/>
          <w:numId w:val="10"/>
        </w:numPr>
        <w:spacing w:after="80" w:lineRule="auto" w:line="300"/>
      </w:pPr>
      <w:r>
        <w:rPr>
          <w:rFonts w:ascii="Calibri" w:hAnsi="Calibri"/>
          <w:color w:val="17231B"/>
        </w:rPr>
        <w:t>Search Console et mesure analytique activées après consentement approprié.</w:t>
      </w:r>
    </w:p>
    <w:p>
      <w:pPr>
        <w:numPr>
          <w:ilvl w:val="0"/>
          <w:numId w:val="10"/>
        </w:numPr>
        <w:spacing w:after="80" w:lineRule="auto" w:line="300"/>
      </w:pPr>
      <w:r>
        <w:rPr>
          <w:rFonts w:ascii="Calibri" w:hAnsi="Calibri"/>
          <w:color w:val="17231B"/>
        </w:rPr>
        <w:t>Plan de retour arrière et responsable du suivi définis.</w:t>
      </w:r>
    </w:p>
    <w:p>
      <w:r>
        <w:br w:type="page"/>
      </w:r>
    </w:p>
    <w:p>
      <w:pPr>
        <w:pStyle w:val="Heading1"/>
        <w:keepNext/>
      </w:pPr>
      <w:r>
        <w:t>11. Risques et mesures de maîtrise</w:t>
      </w:r>
    </w:p>
    <w:tbl>
      <w:tblPr>
        <w:tblW w:type="dxa" w:w="9360"/>
        <w:jc w:val="left"/>
        <w:tblLayout w:type="fixed"/>
        <w:tblLook w:firstColumn="1" w:firstRow="1" w:lastColumn="0" w:lastRow="0" w:noHBand="0" w:noVBand="1" w:val="04A0"/>
        <w:tblInd w:type="dxa" w:w="120"/>
      </w:tblPr>
      <w:tblGrid>
        <w:gridCol w:w="2520"/>
        <w:gridCol w:w="2520"/>
        <w:gridCol w:w="4320"/>
      </w:tblGrid>
      <w:tr>
        <w:trPr>
          <w:tblHeader w:val="true"/>
        </w:trPr>
        <w:tc>
          <w:tcPr>
            <w:tcW w:type="dxa" w:w="252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Risque</w:t>
            </w:r>
          </w:p>
        </w:tc>
        <w:tc>
          <w:tcPr>
            <w:tcW w:type="dxa" w:w="252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Impact</w:t>
            </w:r>
          </w:p>
        </w:tc>
        <w:tc>
          <w:tcPr>
            <w:tcW w:type="dxa" w:w="432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Prévention</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Modèle de données trop rigide</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Reprise coûteuse des contenus</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Valider une verticale complète avant généralisation.</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Administration développée trop tard</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Publication manuelle et incohérente</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Construire le workflow admin avec la première fiche.</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Dépendance à l'hébergeur</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Migration future complexe</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Utiliser les capacités standards Next.js/PostgreSQL et isoler les adaptations.</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Sécurité seulement testée à la fin</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Accès ou modification non autorisés</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RLS, tests négatifs et vérifications serveur dès la première migration.</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Contenu dupliqué ou superficiel</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Faible valeur et visibilité</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Gabarits éditoriaux, sources, relecture et maillage intentionnel.</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Images lourdes</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Coût et mauvais Core Web Vitals</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Tailles maximales, variantes optimisées et dimensions obligatoires.</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Trop de fonctions simultanées</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Retard et régressions</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Lots verticaux courts avec critères de sortie.</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Données locales perdues</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Travail éditorial perdu</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Git pour le code, exports réguliers et procédure de restauration.</w:t>
            </w:r>
          </w:p>
        </w:tc>
      </w:tr>
    </w:tbl>
    <w:p>
      <w:pPr>
        <w:spacing w:after="40"/>
      </w:pPr>
    </w:p>
    <w:p>
      <w:pPr>
        <w:pStyle w:val="Heading2"/>
        <w:keepNext/>
      </w:pPr>
      <w:r>
        <w:t>11.1 Éléments volontairement différés</w:t>
      </w:r>
    </w:p>
    <w:p>
      <w:pPr>
        <w:numPr>
          <w:ilvl w:val="0"/>
          <w:numId w:val="10"/>
        </w:numPr>
        <w:spacing w:after="80" w:lineRule="auto" w:line="300"/>
      </w:pPr>
      <w:r>
        <w:rPr>
          <w:rFonts w:ascii="Calibri" w:hAnsi="Calibri"/>
          <w:color w:val="17231B"/>
        </w:rPr>
        <w:t>Comptes publics et espace communautaire.</w:t>
      </w:r>
    </w:p>
    <w:p>
      <w:pPr>
        <w:numPr>
          <w:ilvl w:val="0"/>
          <w:numId w:val="10"/>
        </w:numPr>
        <w:spacing w:after="80" w:lineRule="auto" w:line="300"/>
      </w:pPr>
      <w:r>
        <w:rPr>
          <w:rFonts w:ascii="Calibri" w:hAnsi="Calibri"/>
          <w:color w:val="17231B"/>
        </w:rPr>
        <w:t>Application mobile native.</w:t>
      </w:r>
    </w:p>
    <w:p>
      <w:pPr>
        <w:numPr>
          <w:ilvl w:val="0"/>
          <w:numId w:val="10"/>
        </w:numPr>
        <w:spacing w:after="80" w:lineRule="auto" w:line="300"/>
      </w:pPr>
      <w:r>
        <w:rPr>
          <w:rFonts w:ascii="Calibri" w:hAnsi="Calibri"/>
          <w:color w:val="17231B"/>
        </w:rPr>
        <w:t>Moteur de recherche externe.</w:t>
      </w:r>
    </w:p>
    <w:p>
      <w:pPr>
        <w:numPr>
          <w:ilvl w:val="0"/>
          <w:numId w:val="10"/>
        </w:numPr>
        <w:spacing w:after="80" w:lineRule="auto" w:line="300"/>
      </w:pPr>
      <w:r>
        <w:rPr>
          <w:rFonts w:ascii="Calibri" w:hAnsi="Calibri"/>
          <w:color w:val="17231B"/>
        </w:rPr>
        <w:t>Personnalisation avancée et recommandations automatisées.</w:t>
      </w:r>
    </w:p>
    <w:p>
      <w:pPr>
        <w:numPr>
          <w:ilvl w:val="0"/>
          <w:numId w:val="10"/>
        </w:numPr>
        <w:spacing w:after="80" w:lineRule="auto" w:line="300"/>
      </w:pPr>
      <w:r>
        <w:rPr>
          <w:rFonts w:ascii="Calibri" w:hAnsi="Calibri"/>
          <w:color w:val="17231B"/>
        </w:rPr>
        <w:t>Commerce électronique complet.</w:t>
      </w:r>
    </w:p>
    <w:p>
      <w:pPr>
        <w:numPr>
          <w:ilvl w:val="0"/>
          <w:numId w:val="10"/>
        </w:numPr>
        <w:spacing w:after="80" w:lineRule="auto" w:line="300"/>
      </w:pPr>
      <w:r>
        <w:rPr>
          <w:rFonts w:ascii="Calibri" w:hAnsi="Calibri"/>
          <w:color w:val="17231B"/>
        </w:rPr>
        <w:t>Traductions multiples avant validation du contenu anglais.</w:t>
      </w:r>
    </w:p>
    <w:p>
      <w:pPr>
        <w:numPr>
          <w:ilvl w:val="0"/>
          <w:numId w:val="10"/>
        </w:numPr>
        <w:spacing w:after="80" w:lineRule="auto" w:line="300"/>
      </w:pPr>
      <w:r>
        <w:rPr>
          <w:rFonts w:ascii="Calibri" w:hAnsi="Calibri"/>
          <w:color w:val="17231B"/>
        </w:rPr>
        <w:t>Microservices et infrastructure distribuée.</w:t>
      </w:r>
    </w:p>
    <w:p>
      <w:r>
        <w:br w:type="page"/>
      </w:r>
    </w:p>
    <w:p>
      <w:pPr>
        <w:pStyle w:val="Heading1"/>
        <w:keepNext/>
      </w:pPr>
      <w:r>
        <w:t>12. Premier cycle de travail</w:t>
      </w:r>
    </w:p>
    <w:tbl>
      <w:tblPr>
        <w:tblW w:type="dxa" w:w="9360"/>
        <w:jc w:val="left"/>
        <w:tblLayout w:type="fixed"/>
        <w:tblLook w:firstColumn="1" w:firstRow="1" w:lastColumn="0" w:lastRow="0" w:noHBand="0" w:noVBand="1" w:val="04A0"/>
        <w:tblInd w:type="dxa" w:w="160"/>
      </w:tblPr>
      <w:tblGrid>
        <w:gridCol w:w="9360"/>
      </w:tblGrid>
      <w:tr>
        <w:trPr>
          <w:tblHeader w:val="true"/>
        </w:trPr>
        <w:tc>
          <w:tcPr>
            <w:tcW w:type="dxa" w:w="9360"/>
            <w:shd w:fill="EAF3ED"/>
            <w:tcBorders>
              <w:top w:val="single" w:sz="8" w:color="24543B"/>
              <w:left w:val="single" w:sz="8" w:color="24543B"/>
              <w:bottom w:val="single" w:sz="8" w:color="24543B"/>
              <w:right w:val="single" w:sz="8" w:color="24543B"/>
              <w:insideH w:val="single" w:sz="8" w:color="24543B"/>
              <w:insideV w:val="single" w:sz="8" w:color="24543B"/>
            </w:tcBorders>
            <w:tcMar>
              <w:top w:w="120" w:type="dxa"/>
              <w:bottom w:w="120" w:type="dxa"/>
              <w:start w:w="160" w:type="dxa"/>
              <w:end w:w="160" w:type="dxa"/>
            </w:tcMar>
          </w:tcPr>
          <w:p>
            <w:pPr>
              <w:spacing w:after="0" w:lineRule="auto" w:line="288"/>
            </w:pPr>
            <w:r>
              <w:rPr>
                <w:rFonts w:ascii="Calibri" w:hAnsi="Calibri"/>
                <w:b/>
                <w:color w:val="24543B"/>
              </w:rPr>
              <w:t xml:space="preserve">Objectif du cycle  </w:t>
            </w:r>
            <w:r>
              <w:rPr>
                <w:rFonts w:ascii="Calibri" w:hAnsi="Calibri"/>
                <w:color w:val="17231B"/>
              </w:rPr>
              <w:t>Obtenir une application locale exécutable, un dépôt propre, une base Supabase reproductible et une première page d'accueil Natura responsive servant de fondation visuelle.</w:t>
            </w:r>
          </w:p>
        </w:tc>
      </w:tr>
    </w:tbl>
    <w:p>
      <w:pPr>
        <w:spacing w:after="20"/>
      </w:pPr>
    </w:p>
    <w:p>
      <w:pPr>
        <w:pStyle w:val="Heading2"/>
        <w:keepNext/>
      </w:pPr>
      <w:r>
        <w:t>12.1 Lot 0 - Fondation</w:t>
      </w:r>
    </w:p>
    <w:tbl>
      <w:tblPr>
        <w:tblW w:type="dxa" w:w="9360"/>
        <w:jc w:val="left"/>
        <w:tblLayout w:type="fixed"/>
        <w:tblLook w:firstColumn="1" w:firstRow="1" w:lastColumn="0" w:lastRow="0" w:noHBand="0" w:noVBand="1" w:val="04A0"/>
        <w:tblInd w:type="dxa" w:w="120"/>
      </w:tblPr>
      <w:tblGrid>
        <w:gridCol w:w="1080"/>
        <w:gridCol w:w="4740"/>
        <w:gridCol w:w="3540"/>
      </w:tblGrid>
      <w:tr>
        <w:trPr>
          <w:tblHeader w:val="true"/>
        </w:trPr>
        <w:tc>
          <w:tcPr>
            <w:tcW w:type="dxa" w:w="10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Ordre</w:t>
            </w:r>
          </w:p>
        </w:tc>
        <w:tc>
          <w:tcPr>
            <w:tcW w:type="dxa" w:w="474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Action</w:t>
            </w:r>
          </w:p>
        </w:tc>
        <w:tc>
          <w:tcPr>
            <w:tcW w:type="dxa" w:w="354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Résultat attendu</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1</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Initialiser Git et les règles d'exclusion.</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Historique de référence sans secrets ni fichiers générés.</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2</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Créer Next.js App Router avec TypeScript strict, Tailwind et ESLint.</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Application minimale compilable.</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3</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Ajouter AGENTS.md, README et commandes de qualité.</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Méthode de collaboration et démarrage reproductibles.</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4</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Initialiser Supabase local et le schéma déclaratif.</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Dossier supabase versionnable.</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5</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Créer le modèle minimal profiles/content/media.</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Première migration et données de démonstration.</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6</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Ajouter les clients Supabase serveur et navigateur.</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Accès typé et séparation des secrets.</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7</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Construire le layout, la navigation et l'accueil.</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Première expérience Natura responsive.</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8</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Exécuter lint, typecheck, tests et build.</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Fondation prête pour la verticale plante.</w:t>
            </w:r>
          </w:p>
        </w:tc>
      </w:tr>
    </w:tbl>
    <w:p>
      <w:pPr>
        <w:spacing w:after="40"/>
      </w:pPr>
    </w:p>
    <w:p>
      <w:pPr>
        <w:pStyle w:val="Heading2"/>
        <w:keepNext/>
      </w:pPr>
      <w:r>
        <w:t>12.2 Dépendance locale immédiate</w:t>
      </w:r>
    </w:p>
    <w:p>
      <w:pPr>
        <w:spacing w:before="0" w:after="120" w:lineRule="auto" w:line="300"/>
      </w:pPr>
      <w:r>
        <w:rPr>
          <w:rFonts w:ascii="Calibri" w:hAnsi="Calibri"/>
          <w:b w:val="0"/>
          <w:i w:val="0"/>
          <w:color w:val="17231B"/>
        </w:rPr>
        <w:t>Docker est installé sur l'ordinateur mais son moteur doit être démarré avant de lancer Supabase local. La préparation des fichiers peut être réalisée avant cela ; la validation de la base attendra que Docker Desktop soit actif.</w:t>
      </w:r>
    </w:p>
    <w:p>
      <w:pPr>
        <w:pStyle w:val="Heading2"/>
        <w:keepNext/>
      </w:pPr>
      <w:r>
        <w:t>12.3 Prochaine verticale</w:t>
      </w:r>
    </w:p>
    <w:p>
      <w:pPr>
        <w:numPr>
          <w:ilvl w:val="0"/>
          <w:numId w:val="11"/>
        </w:numPr>
        <w:spacing w:after="80" w:lineRule="auto" w:line="300"/>
      </w:pPr>
      <w:r>
        <w:rPr>
          <w:rFonts w:ascii="Calibri" w:hAnsi="Calibri"/>
          <w:color w:val="17231B"/>
        </w:rPr>
        <w:t>Créer une plante de démonstration représentative du marché ciblé.</w:t>
      </w:r>
    </w:p>
    <w:p>
      <w:pPr>
        <w:numPr>
          <w:ilvl w:val="0"/>
          <w:numId w:val="11"/>
        </w:numPr>
        <w:spacing w:after="80" w:lineRule="auto" w:line="300"/>
      </w:pPr>
      <w:r>
        <w:rPr>
          <w:rFonts w:ascii="Calibri" w:hAnsi="Calibri"/>
          <w:color w:val="17231B"/>
        </w:rPr>
        <w:t>Afficher sa fiche publique depuis PostgreSQL.</w:t>
      </w:r>
    </w:p>
    <w:p>
      <w:pPr>
        <w:numPr>
          <w:ilvl w:val="0"/>
          <w:numId w:val="11"/>
        </w:numPr>
        <w:spacing w:after="80" w:lineRule="auto" w:line="300"/>
      </w:pPr>
      <w:r>
        <w:rPr>
          <w:rFonts w:ascii="Calibri" w:hAnsi="Calibri"/>
          <w:color w:val="17231B"/>
        </w:rPr>
        <w:t>Créer son formulaire d'administration.</w:t>
      </w:r>
    </w:p>
    <w:p>
      <w:pPr>
        <w:numPr>
          <w:ilvl w:val="0"/>
          <w:numId w:val="11"/>
        </w:numPr>
        <w:spacing w:after="80" w:lineRule="auto" w:line="300"/>
      </w:pPr>
      <w:r>
        <w:rPr>
          <w:rFonts w:ascii="Calibri" w:hAnsi="Calibri"/>
          <w:color w:val="17231B"/>
        </w:rPr>
        <w:t>Publier l'image, les sources, les métadonnées et les données structurées.</w:t>
      </w:r>
    </w:p>
    <w:p>
      <w:pPr>
        <w:numPr>
          <w:ilvl w:val="0"/>
          <w:numId w:val="11"/>
        </w:numPr>
        <w:spacing w:after="80" w:lineRule="auto" w:line="300"/>
      </w:pPr>
      <w:r>
        <w:rPr>
          <w:rFonts w:ascii="Calibri" w:hAnsi="Calibri"/>
          <w:color w:val="17231B"/>
        </w:rPr>
        <w:t>Tester l'ensemble du parcours et documenter les décisions prises.</w:t>
      </w:r>
    </w:p>
    <w:p>
      <w:r>
        <w:br w:type="page"/>
      </w:r>
    </w:p>
    <w:p>
      <w:pPr>
        <w:pStyle w:val="Heading1"/>
        <w:keepNext/>
      </w:pPr>
      <w:r>
        <w:t>13. Règles de collaboration avec Codex</w:t>
      </w:r>
    </w:p>
    <w:p>
      <w:pPr>
        <w:numPr>
          <w:ilvl w:val="0"/>
          <w:numId w:val="10"/>
        </w:numPr>
        <w:spacing w:after="80" w:lineRule="auto" w:line="300"/>
      </w:pPr>
      <w:r>
        <w:rPr>
          <w:rFonts w:ascii="Calibri" w:hAnsi="Calibri"/>
          <w:color w:val="17231B"/>
        </w:rPr>
        <w:t>Une tâche ou un résultat cohérent par conversation : audit, base, administration, page, outil ou déploiement.</w:t>
      </w:r>
    </w:p>
    <w:p>
      <w:pPr>
        <w:numPr>
          <w:ilvl w:val="0"/>
          <w:numId w:val="10"/>
        </w:numPr>
        <w:spacing w:after="80" w:lineRule="auto" w:line="300"/>
      </w:pPr>
      <w:r>
        <w:rPr>
          <w:rFonts w:ascii="Calibri" w:hAnsi="Calibri"/>
          <w:color w:val="17231B"/>
        </w:rPr>
        <w:t>Avant une modification importante, annoncer l'objectif, les fichiers concernés et les critères de fin.</w:t>
      </w:r>
    </w:p>
    <w:p>
      <w:pPr>
        <w:numPr>
          <w:ilvl w:val="0"/>
          <w:numId w:val="10"/>
        </w:numPr>
        <w:spacing w:after="80" w:lineRule="auto" w:line="300"/>
      </w:pPr>
      <w:r>
        <w:rPr>
          <w:rFonts w:ascii="Calibri" w:hAnsi="Calibri"/>
          <w:color w:val="17231B"/>
        </w:rPr>
        <w:t>Préserver les changements existants et ne jamais supprimer un travail utilisateur sans autorisation explicite.</w:t>
      </w:r>
    </w:p>
    <w:p>
      <w:pPr>
        <w:numPr>
          <w:ilvl w:val="0"/>
          <w:numId w:val="10"/>
        </w:numPr>
        <w:spacing w:after="80" w:lineRule="auto" w:line="300"/>
      </w:pPr>
      <w:r>
        <w:rPr>
          <w:rFonts w:ascii="Calibri" w:hAnsi="Calibri"/>
          <w:color w:val="17231B"/>
        </w:rPr>
        <w:t>Après chaque lot, présenter le résultat, les vérifications exécutées, les limites et la prochaine action sûre.</w:t>
      </w:r>
    </w:p>
    <w:p>
      <w:pPr>
        <w:numPr>
          <w:ilvl w:val="0"/>
          <w:numId w:val="10"/>
        </w:numPr>
        <w:spacing w:after="80" w:lineRule="auto" w:line="300"/>
      </w:pPr>
      <w:r>
        <w:rPr>
          <w:rFonts w:ascii="Calibri" w:hAnsi="Calibri"/>
          <w:color w:val="17231B"/>
        </w:rPr>
        <w:t>Inscrire dans AGENTS.md les choix durables : stack, commandes, architecture, sécurité, SEO et définition de terminé.</w:t>
      </w:r>
    </w:p>
    <w:p>
      <w:pPr>
        <w:numPr>
          <w:ilvl w:val="0"/>
          <w:numId w:val="10"/>
        </w:numPr>
        <w:spacing w:after="80" w:lineRule="auto" w:line="300"/>
      </w:pPr>
      <w:r>
        <w:rPr>
          <w:rFonts w:ascii="Calibri" w:hAnsi="Calibri"/>
          <w:color w:val="17231B"/>
        </w:rPr>
        <w:t>Conserver les décisions d'architecture significatives dans docs/decisions sous forme courte et datée.</w:t>
      </w:r>
    </w:p>
    <w:p>
      <w:pPr>
        <w:pStyle w:val="Heading2"/>
        <w:keepNext/>
      </w:pPr>
      <w:r>
        <w:t>13.1 Commandes de référence prévues</w:t>
      </w:r>
    </w:p>
    <w:tbl>
      <w:tblPr>
        <w:tblW w:type="dxa" w:w="9360"/>
        <w:jc w:val="left"/>
        <w:tblLayout w:type="fixed"/>
        <w:tblLook w:firstColumn="1" w:firstRow="1" w:lastColumn="0" w:lastRow="0" w:noHBand="0" w:noVBand="1" w:val="04A0"/>
        <w:tblInd w:type="dxa" w:w="120"/>
      </w:tblPr>
      <w:tblGrid>
        <w:gridCol w:w="2880"/>
        <w:gridCol w:w="6480"/>
      </w:tblGrid>
      <w:tr>
        <w:trPr>
          <w:tblHeader w:val="true"/>
        </w:trPr>
        <w:tc>
          <w:tcPr>
            <w:tcW w:type="dxa" w:w="28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Commande</w:t>
            </w:r>
          </w:p>
        </w:tc>
        <w:tc>
          <w:tcPr>
            <w:tcW w:type="dxa" w:w="64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Usage</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dev</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Démarrer l'application Next.js locale.</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lint</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Vérifier les règles de code.</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typecheck</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Vérifier TypeScript sans produire de fichiers.</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test</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Exécuter les tests applicatifs.</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test:e2e</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Exécuter les parcours Playwright.</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build</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Valider la construction de production.</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supabase:start</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Démarrer la pile Supabase locale.</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supabase:reset</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Reconstruire la base depuis schémas, migrations et seed.</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db:types</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Régénérer les types TypeScript PostgreSQL.</w:t>
            </w:r>
          </w:p>
        </w:tc>
      </w:tr>
    </w:tbl>
    <w:p>
      <w:pPr>
        <w:spacing w:after="40"/>
      </w:pPr>
    </w:p>
    <w:p>
      <w:pPr>
        <w:pStyle w:val="Heading1"/>
        <w:keepNext/>
      </w:pPr>
      <w:r>
        <w:t>14. Références techniques</w:t>
      </w:r>
    </w:p>
    <w:p>
      <w:pPr>
        <w:numPr>
          <w:ilvl w:val="0"/>
          <w:numId w:val="10"/>
        </w:numPr>
        <w:spacing w:after="80" w:lineRule="auto" w:line="300"/>
      </w:pPr>
      <w:r>
        <w:rPr>
          <w:rFonts w:ascii="Calibri" w:hAnsi="Calibri"/>
          <w:color w:val="17231B"/>
        </w:rPr>
        <w:t>Supabase - Local development workflow: https://supabase.com/docs/guides/local-development/cli-workflows</w:t>
      </w:r>
    </w:p>
    <w:p>
      <w:pPr>
        <w:numPr>
          <w:ilvl w:val="0"/>
          <w:numId w:val="10"/>
        </w:numPr>
        <w:spacing w:after="80" w:lineRule="auto" w:line="300"/>
      </w:pPr>
      <w:r>
        <w:rPr>
          <w:rFonts w:ascii="Calibri" w:hAnsi="Calibri"/>
          <w:color w:val="17231B"/>
        </w:rPr>
        <w:t>Supabase - Local development with schema migrations: https://supabase.com/docs/guides/local-development/overview</w:t>
      </w:r>
    </w:p>
    <w:p>
      <w:pPr>
        <w:numPr>
          <w:ilvl w:val="0"/>
          <w:numId w:val="10"/>
        </w:numPr>
        <w:spacing w:after="80" w:lineRule="auto" w:line="300"/>
      </w:pPr>
      <w:r>
        <w:rPr>
          <w:rFonts w:ascii="Calibri" w:hAnsi="Calibri"/>
          <w:color w:val="17231B"/>
        </w:rPr>
        <w:t>Supabase - Securing the Data API: https://supabase.com/docs/guides/api/securing-your-api</w:t>
      </w:r>
    </w:p>
    <w:p>
      <w:pPr>
        <w:numPr>
          <w:ilvl w:val="0"/>
          <w:numId w:val="10"/>
        </w:numPr>
        <w:spacing w:after="80" w:lineRule="auto" w:line="300"/>
      </w:pPr>
      <w:r>
        <w:rPr>
          <w:rFonts w:ascii="Calibri" w:hAnsi="Calibri"/>
          <w:color w:val="17231B"/>
        </w:rPr>
        <w:t>Supabase - Database testing: https://supabase.com/docs/guides/database/testing</w:t>
      </w:r>
    </w:p>
    <w:p>
      <w:pPr>
        <w:numPr>
          <w:ilvl w:val="0"/>
          <w:numId w:val="10"/>
        </w:numPr>
        <w:spacing w:after="80" w:lineRule="auto" w:line="300"/>
      </w:pPr>
      <w:r>
        <w:rPr>
          <w:rFonts w:ascii="Calibri" w:hAnsi="Calibri"/>
          <w:color w:val="17231B"/>
        </w:rPr>
        <w:t>Supabase - Full Text Search: https://supabase.com/docs/guides/database/full-text-search</w:t>
      </w:r>
    </w:p>
    <w:p>
      <w:pPr>
        <w:numPr>
          <w:ilvl w:val="0"/>
          <w:numId w:val="10"/>
        </w:numPr>
        <w:spacing w:after="80" w:lineRule="auto" w:line="300"/>
      </w:pPr>
      <w:r>
        <w:rPr>
          <w:rFonts w:ascii="Calibri" w:hAnsi="Calibri"/>
          <w:color w:val="17231B"/>
        </w:rPr>
        <w:t>Next.js - App Router: https://nextjs.org/docs/app</w:t>
      </w:r>
    </w:p>
    <w:p>
      <w:pPr>
        <w:numPr>
          <w:ilvl w:val="0"/>
          <w:numId w:val="10"/>
        </w:numPr>
        <w:spacing w:after="80" w:lineRule="auto" w:line="300"/>
      </w:pPr>
      <w:r>
        <w:rPr>
          <w:rFonts w:ascii="Calibri" w:hAnsi="Calibri"/>
          <w:color w:val="17231B"/>
        </w:rPr>
        <w:t>Next.js - Server and Client Components: https://nextjs.org/docs/app/getting-started/server-and-client-components</w:t>
      </w:r>
    </w:p>
    <w:p>
      <w:pPr>
        <w:numPr>
          <w:ilvl w:val="0"/>
          <w:numId w:val="10"/>
        </w:numPr>
        <w:spacing w:after="80" w:lineRule="auto" w:line="300"/>
      </w:pPr>
      <w:r>
        <w:rPr>
          <w:rFonts w:ascii="Calibri" w:hAnsi="Calibri"/>
          <w:color w:val="17231B"/>
        </w:rPr>
        <w:t>Next.js - Authentication: https://nextjs.org/docs/app/guides/authentication</w:t>
      </w:r>
    </w:p>
    <w:p>
      <w:pPr>
        <w:numPr>
          <w:ilvl w:val="0"/>
          <w:numId w:val="10"/>
        </w:numPr>
        <w:spacing w:after="80" w:lineRule="auto" w:line="300"/>
      </w:pPr>
      <w:r>
        <w:rPr>
          <w:rFonts w:ascii="Calibri" w:hAnsi="Calibri"/>
          <w:color w:val="17231B"/>
        </w:rPr>
        <w:t>Next.js - Deployment: https://nextjs.org/docs/app/guides/deploying-to-platforms</w:t>
      </w:r>
    </w:p>
    <w:tbl>
      <w:tblPr>
        <w:tblW w:type="dxa" w:w="9360"/>
        <w:jc w:val="left"/>
        <w:tblLayout w:type="fixed"/>
        <w:tblLook w:firstColumn="1" w:firstRow="1" w:lastColumn="0" w:lastRow="0" w:noHBand="0" w:noVBand="1" w:val="04A0"/>
        <w:tblInd w:type="dxa" w:w="160"/>
      </w:tblPr>
      <w:tblGrid>
        <w:gridCol w:w="9360"/>
      </w:tblGrid>
      <w:tr>
        <w:trPr>
          <w:tblHeader w:val="true"/>
        </w:trPr>
        <w:tc>
          <w:tcPr>
            <w:tcW w:type="dxa" w:w="9360"/>
            <w:shd w:fill="EAF3ED"/>
            <w:tcBorders>
              <w:top w:val="single" w:sz="8" w:color="24543B"/>
              <w:left w:val="single" w:sz="8" w:color="24543B"/>
              <w:bottom w:val="single" w:sz="8" w:color="24543B"/>
              <w:right w:val="single" w:sz="8" w:color="24543B"/>
              <w:insideH w:val="single" w:sz="8" w:color="24543B"/>
              <w:insideV w:val="single" w:sz="8" w:color="24543B"/>
            </w:tcBorders>
            <w:tcMar>
              <w:top w:w="120" w:type="dxa"/>
              <w:bottom w:w="120" w:type="dxa"/>
              <w:start w:w="160" w:type="dxa"/>
              <w:end w:w="160" w:type="dxa"/>
            </w:tcMar>
          </w:tcPr>
          <w:p>
            <w:pPr>
              <w:spacing w:after="0" w:lineRule="auto" w:line="288"/>
            </w:pPr>
            <w:r>
              <w:rPr>
                <w:rFonts w:ascii="Calibri" w:hAnsi="Calibri"/>
                <w:b/>
                <w:color w:val="24543B"/>
              </w:rPr>
              <w:t xml:space="preserve">Décision finale  </w:t>
            </w:r>
            <w:r>
              <w:rPr>
                <w:rFonts w:ascii="Calibri" w:hAnsi="Calibri"/>
                <w:color w:val="17231B"/>
              </w:rPr>
              <w:t>Commencer immédiatement par le Lot 0. Ne pas choisir l'hébergement définitif avant la préproduction, mais conserver dès aujourd'hui une architecture portable, sécurisée et reproductible.</w:t>
            </w:r>
          </w:p>
        </w:tc>
      </w:tr>
    </w:tbl>
    <w:p>
      <w:pPr>
        <w:spacing w:after="20"/>
      </w:pPr>
    </w:p>
    <w:p>
      <w:r>
        <w:br w:type="page"/>
      </w:r>
    </w:p>
    <w:p>
      <w:pPr>
        <w:pStyle w:val="Heading1"/>
      </w:pPr>
      <w:r>
        <w:t>15. Audit senior, benchmark et réalignement du studio</w:t>
      </w:r>
    </w:p>
    <w:p>
      <w:r>
        <w:rPr>
          <w:b/>
          <w:sz w:val="22"/>
        </w:rPr>
        <w:t>Version 1.1 — état vérifié le 2 août 2026</w:t>
      </w:r>
    </w:p>
    <w:p>
      <w:r>
        <w:t>Cette section met à jour le plan directeur après l’audit du site, du dashboard, du parcours de création, de la base locale et des références professionnelles de CMS.</w:t>
      </w:r>
    </w:p>
    <w:p>
      <w:pPr>
        <w:pStyle w:val="Heading2"/>
      </w:pPr>
      <w:r>
        <w:t>15.1 Diagnostic de l’erreur d’hydratation</w:t>
      </w:r>
    </w:p>
    <w:p>
      <w:r>
        <w:t>La trace fournie contient les attributs bis_register et bis_skin_checked, injectés par une extension de navigateur avant l’hydratation React. Next.js répertorie explicitement les extensions modifiant le HTML comme cause possible. Le code Natura ne contient pas de branche navigateur, valeur aléatoire ou structure HTML invalide expliquant cette trace.</w:t>
      </w:r>
    </w:p>
    <w:p>
      <w:pPr>
        <w:pStyle w:val="ListBullet"/>
      </w:pPr>
      <w:r>
        <w:t>Tolérer les attributs externes uniquement au niveau des racines HTML.</w:t>
      </w:r>
    </w:p>
    <w:p>
      <w:pPr>
        <w:pStyle w:val="ListBullet"/>
      </w:pPr>
      <w:r>
        <w:t>Ne pas masquer globalement les vraies erreurs de React.</w:t>
      </w:r>
    </w:p>
    <w:p>
      <w:pPr>
        <w:pStyle w:val="ListBullet"/>
      </w:pPr>
      <w:r>
        <w:t>Désactiver pour localhost l’extension qui injecte les attributs bis_* si l’avertissement persiste.</w:t>
      </w:r>
    </w:p>
    <w:p>
      <w:pPr>
        <w:pStyle w:val="ListBullet"/>
      </w:pPr>
      <w:r>
        <w:t>Conserver lint, TypeScript, build de production et tests navigateur comme contrôles de référence.</w:t>
      </w:r>
    </w:p>
    <w:p>
      <w:pPr>
        <w:pStyle w:val="Heading2"/>
      </w:pPr>
      <w:r>
        <w:t>15.2 Écarts confirmés par rapport au plan</w:t>
      </w:r>
    </w:p>
    <w:p>
      <w:pPr>
        <w:pStyle w:val="ListBullet"/>
      </w:pPr>
      <w:r>
        <w:t>Les sous-menus Grow, Small-Space Gardening, Plant Care, Planting Calendar, Tools et Reviews n’étaient pas implémentés.</w:t>
      </w:r>
    </w:p>
    <w:p>
      <w:pPr>
        <w:pStyle w:val="ListBullet"/>
      </w:pPr>
      <w:r>
        <w:t>La création d’un brouillon retournait au tableau de bord au lieu d’ouvrir le contenu créé.</w:t>
      </w:r>
    </w:p>
    <w:p>
      <w:pPr>
        <w:pStyle w:val="ListBullet"/>
      </w:pPr>
      <w:r>
        <w:t>La bibliothèque ne permettait pas d’ouvrir un éditeur complet.</w:t>
      </w:r>
    </w:p>
    <w:p>
      <w:pPr>
        <w:pStyle w:val="ListBullet"/>
      </w:pPr>
      <w:r>
        <w:t>Le contenu n’était pas rattaché à la section et à la sous-section du menu public.</w:t>
      </w:r>
    </w:p>
    <w:p>
      <w:pPr>
        <w:pStyle w:val="ListBullet"/>
      </w:pPr>
      <w:r>
        <w:t>Il n’existait ni aperçu privé, ni historique de révisions, ni journal éditorial.</w:t>
      </w:r>
    </w:p>
    <w:p>
      <w:pPr>
        <w:pStyle w:val="ListBullet"/>
      </w:pPr>
      <w:r>
        <w:t>Les fiches publiques restent encore alimentées par des données TypeScript statiques, distinctes de PostgreSQL.</w:t>
      </w:r>
    </w:p>
    <w:p>
      <w:pPr>
        <w:pStyle w:val="ListBullet"/>
      </w:pPr>
      <w:r>
        <w:t>La médiathèque ne permet pas encore l’upload, la licence, le crédit et la sélection depuis l’éditeur.</w:t>
      </w:r>
    </w:p>
    <w:p>
      <w:pPr>
        <w:pStyle w:val="Heading2"/>
      </w:pPr>
      <w:r>
        <w:t>15.3 Benchmark professionnel retenu</w:t>
      </w:r>
    </w:p>
    <w:p>
      <w:pPr>
        <w:pStyle w:val="ListBullet"/>
      </w:pPr>
      <w:r>
        <w:rPr>
          <w:b/>
        </w:rPr>
        <w:t xml:space="preserve">Sanity Studio. </w:t>
      </w:r>
      <w:r>
        <w:t>Sépare dashboard, structure documentaire et présentation; organise listes, vues, menus et workflows; ajoute validation, aperçu et releases.</w:t>
      </w:r>
    </w:p>
    <w:p>
      <w:pPr>
        <w:pStyle w:val="ListBullet"/>
      </w:pPr>
      <w:r>
        <w:rPr>
          <w:b/>
        </w:rPr>
        <w:t xml:space="preserve">Directus. </w:t>
      </w:r>
      <w:r>
        <w:t>Traite les collections comme un module de gestion avec recherche, tri, layouts, pages item et versions non publiées.</w:t>
      </w:r>
    </w:p>
    <w:p>
      <w:pPr>
        <w:pStyle w:val="ListBullet"/>
      </w:pPr>
      <w:r>
        <w:rPr>
          <w:b/>
        </w:rPr>
        <w:t xml:space="preserve">Contentful. </w:t>
      </w:r>
      <w:r>
        <w:t>Propose un aperçu des brouillons dans l’éditeur ou dans un nouvel onglet, séparé de la diffusion publique.</w:t>
      </w:r>
    </w:p>
    <w:p>
      <w:pPr>
        <w:pStyle w:val="ListBullet"/>
      </w:pPr>
      <w:r>
        <w:rPr>
          <w:b/>
        </w:rPr>
        <w:t xml:space="preserve">Supabase/PostgreSQL. </w:t>
      </w:r>
      <w:r>
        <w:t>Fournit RLS pour les fichiers et données, Storage sécurisé et recherche plein texte indexable.</w:t>
      </w:r>
    </w:p>
    <w:p>
      <w:pPr>
        <w:pStyle w:val="Heading2"/>
      </w:pPr>
      <w:r>
        <w:t>15.4 Correctifs et améliorations intégrés</w:t>
      </w:r>
    </w:p>
    <w:p>
      <w:pPr>
        <w:pStyle w:val="ListBullet"/>
      </w:pPr>
      <w:r>
        <w:t>Méga-menus publics et navigation mobile avec toutes les sous-rubriques prévues.</w:t>
      </w:r>
    </w:p>
    <w:p>
      <w:pPr>
        <w:pStyle w:val="ListBullet"/>
      </w:pPr>
      <w:r>
        <w:t>Rubriques publiques complétées avec ancres stables.</w:t>
      </w:r>
    </w:p>
    <w:p>
      <w:pPr>
        <w:pStyle w:val="ListBullet"/>
      </w:pPr>
      <w:r>
        <w:t>Sidebar admin groupée par workflow éditorial, base de connaissances et opérations.</w:t>
      </w:r>
    </w:p>
    <w:p>
      <w:pPr>
        <w:pStyle w:val="ListBullet"/>
      </w:pPr>
      <w:r>
        <w:t>Filtres directs pour brouillons, révision, publication et types de contenu.</w:t>
      </w:r>
    </w:p>
    <w:p>
      <w:pPr>
        <w:pStyle w:val="ListBullet"/>
      </w:pPr>
      <w:r>
        <w:t>Taxonomies partagées entre le menu public et l’administration.</w:t>
      </w:r>
    </w:p>
    <w:p>
      <w:pPr>
        <w:pStyle w:val="ListBullet"/>
      </w:pPr>
      <w:r>
        <w:t>Création reliée à la destination publique puis ouverture immédiate de l’éditeur.</w:t>
      </w:r>
    </w:p>
    <w:p>
      <w:pPr>
        <w:pStyle w:val="ListBullet"/>
      </w:pPr>
      <w:r>
        <w:t>Éditeur avec identité, contenu, distribution, SEO, sources et score de préparation.</w:t>
      </w:r>
    </w:p>
    <w:p>
      <w:pPr>
        <w:pStyle w:val="ListBullet"/>
      </w:pPr>
      <w:r>
        <w:t>Aperçu privé protégé et actions sauvegarder, réviser, publier et archiver.</w:t>
      </w:r>
    </w:p>
    <w:p>
      <w:pPr>
        <w:pStyle w:val="ListBullet"/>
      </w:pPr>
      <w:r>
        <w:t>Historique de révisions et journal d’actions dans PostgreSQL avec RLS administrateur.</w:t>
      </w:r>
    </w:p>
    <w:p>
      <w:pPr>
        <w:pStyle w:val="ListBullet"/>
      </w:pPr>
      <w:r>
        <w:t>Index de filtrage administrateur et en-têtes HTTP de sécurité.</w:t>
      </w:r>
    </w:p>
    <w:p>
      <w:pPr>
        <w:pStyle w:val="Heading2"/>
      </w:pPr>
      <w:r>
        <w:t>15.5 Prochain ordre de réalisation</w:t>
      </w:r>
    </w:p>
    <w:p>
      <w:r>
        <w:rPr>
          <w:b/>
        </w:rPr>
        <w:t>P0 — verticale plante PostgreSQL</w:t>
      </w:r>
    </w:p>
    <w:p>
      <w:pPr>
        <w:pStyle w:val="ListBullet2"/>
      </w:pPr>
      <w:r>
        <w:t>Étendre le schéma plante avec les champs horticoles, relations, sources et média principal.</w:t>
      </w:r>
    </w:p>
    <w:p>
      <w:pPr>
        <w:pStyle w:val="ListBullet2"/>
      </w:pPr>
      <w:r>
        <w:t>Construire l’éditeur plante typé.</w:t>
      </w:r>
    </w:p>
    <w:p>
      <w:pPr>
        <w:pStyle w:val="ListBullet2"/>
      </w:pPr>
      <w:r>
        <w:t>Lire la fiche publique depuis PostgreSQL et revalider après publication.</w:t>
      </w:r>
    </w:p>
    <w:p>
      <w:pPr>
        <w:pStyle w:val="ListBullet2"/>
      </w:pPr>
      <w:r>
        <w:t>Supprimer la duplication avec les données statiques de lib/plants.ts.</w:t>
      </w:r>
    </w:p>
    <w:p>
      <w:pPr>
        <w:pStyle w:val="ListBullet2"/>
      </w:pPr>
      <w:r>
        <w:t>Tester RLS, actions serveur, rendu public et parcours navigateur.</w:t>
      </w:r>
    </w:p>
    <w:p>
      <w:r>
        <w:rPr>
          <w:b/>
        </w:rPr>
        <w:t>P1 — médiathèque complète</w:t>
      </w:r>
    </w:p>
    <w:p>
      <w:pPr>
        <w:pStyle w:val="ListBullet2"/>
      </w:pPr>
      <w:r>
        <w:t>Upload sécurisé vers le bucket brouillon avec validation MIME, poids et dimensions.</w:t>
      </w:r>
    </w:p>
    <w:p>
      <w:pPr>
        <w:pStyle w:val="ListBullet2"/>
      </w:pPr>
      <w:r>
        <w:t>Alt text, crédit, licence, recadrage et sélection depuis l’éditeur.</w:t>
      </w:r>
    </w:p>
    <w:p>
      <w:pPr>
        <w:pStyle w:val="ListBullet2"/>
      </w:pPr>
      <w:r>
        <w:t>Promotion contrôlée vers le bucket public lors de la publication.</w:t>
      </w:r>
    </w:p>
    <w:p>
      <w:r>
        <w:rPr>
          <w:b/>
        </w:rPr>
        <w:t>P1 — workflow et bibliothèque</w:t>
      </w:r>
    </w:p>
    <w:p>
      <w:pPr>
        <w:pStyle w:val="ListBullet2"/>
      </w:pPr>
      <w:r>
        <w:t>Restauration et comparaison des versions.</w:t>
      </w:r>
    </w:p>
    <w:p>
      <w:pPr>
        <w:pStyle w:val="ListBullet2"/>
      </w:pPr>
      <w:r>
        <w:t>Pagination et filtres PostgreSQL côté serveur.</w:t>
      </w:r>
    </w:p>
    <w:p>
      <w:pPr>
        <w:pStyle w:val="ListBullet2"/>
      </w:pPr>
      <w:r>
        <w:t>Sélection multiple, duplication, archivage et alertes de qualité.</w:t>
      </w:r>
    </w:p>
    <w:p>
      <w:pPr>
        <w:pStyle w:val="ListBullet2"/>
      </w:pPr>
      <w:r>
        <w:t>Publication programmée et calendrier éditorial réel.</w:t>
      </w:r>
    </w:p>
    <w:p>
      <w:r>
        <w:rPr>
          <w:b/>
        </w:rPr>
        <w:t>P2 — recherche et qualité publique</w:t>
      </w:r>
    </w:p>
    <w:p>
      <w:pPr>
        <w:pStyle w:val="ListBullet2"/>
      </w:pPr>
      <w:r>
        <w:t>Brancher la recherche sur PostgreSQL Full Text Search.</w:t>
      </w:r>
    </w:p>
    <w:p>
      <w:pPr>
        <w:pStyle w:val="ListBullet2"/>
      </w:pPr>
      <w:r>
        <w:t>Générer breadcrumbs, canonical et JSON-LD depuis les contenus publiés.</w:t>
      </w:r>
    </w:p>
    <w:p>
      <w:pPr>
        <w:pStyle w:val="ListBullet2"/>
      </w:pPr>
      <w:r>
        <w:t>Ajouter tests de navigation, accessibilité, performance et monitoring.</w:t>
      </w:r>
    </w:p>
    <w:p>
      <w:pPr>
        <w:pStyle w:val="Heading2"/>
      </w:pPr>
      <w:r>
        <w:t>15.6 Décision de cycle</w:t>
      </w:r>
    </w:p>
    <w:p>
      <w:r>
        <w:rPr>
          <w:b/>
        </w:rPr>
        <w:t xml:space="preserve">Prochaine verticale obligatoire. </w:t>
      </w:r>
      <w:r>
        <w:t>Créer une fiche plante depuis le studio, ajouter contenu structuré, image et sources, prévisualiser, soumettre en révision, publier, puis afficher exactement la même donnée sur la fiche publique. Ne pas multiplier les pages statiques avant cette preuve de bout en bout.</w:t>
      </w:r>
    </w:p>
    <w:p>
      <w:pPr>
        <w:pStyle w:val="Heading2"/>
      </w:pPr>
      <w:r>
        <w:t>15.7 Références du benchmark</w:t>
      </w:r>
    </w:p>
    <w:p>
      <w:pPr>
        <w:pStyle w:val="ListBullet"/>
      </w:pPr>
      <w:r>
        <w:t>Next.js — React hydration error: https://nextjs.org/docs/messages/react-hydration-error</w:t>
      </w:r>
    </w:p>
    <w:p>
      <w:pPr>
        <w:pStyle w:val="ListBullet"/>
      </w:pPr>
      <w:r>
        <w:t>Sanity — Studio tools: https://www.sanity.io/docs/studio/studio-tools</w:t>
      </w:r>
    </w:p>
    <w:p>
      <w:pPr>
        <w:pStyle w:val="ListBullet"/>
      </w:pPr>
      <w:r>
        <w:t>Sanity — Structure tool: https://www.sanity.io/docs/studio/structure-introduction</w:t>
      </w:r>
    </w:p>
    <w:p>
      <w:pPr>
        <w:pStyle w:val="ListBullet"/>
      </w:pPr>
      <w:r>
        <w:t>Sanity — Content releases: https://www.sanity.io/docs/studio/content-releases</w:t>
      </w:r>
    </w:p>
    <w:p>
      <w:pPr>
        <w:pStyle w:val="ListBullet"/>
      </w:pPr>
      <w:r>
        <w:t>Directus — Content module: https://docs.directus.io/user-guide/content-module/content</w:t>
      </w:r>
    </w:p>
    <w:p>
      <w:pPr>
        <w:pStyle w:val="ListBullet"/>
      </w:pPr>
      <w:r>
        <w:t>Directus — Content versions: https://docs.directus.io/reference/system/versions</w:t>
      </w:r>
    </w:p>
    <w:p>
      <w:pPr>
        <w:pStyle w:val="ListBullet"/>
      </w:pPr>
      <w:r>
        <w:t>Contentful — Content preview: https://www.contentful.com/developers/docs/tutorials/preview/content-preview/</w:t>
      </w:r>
    </w:p>
    <w:p>
      <w:pPr>
        <w:pStyle w:val="ListBullet"/>
      </w:pPr>
      <w:r>
        <w:t>Supabase — Storage access control: https://supabase.com/docs/guides/storage/security/access-control</w:t>
      </w:r>
    </w:p>
    <w:p>
      <w:pPr>
        <w:pStyle w:val="ListBullet"/>
      </w:pPr>
      <w:r>
        <w:t>Supabase — Full Text Search: https://supabase.com/docs/guides/database/full-text-search</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65"/>
        <w:sz w:val="17"/>
      </w:rPr>
      <w:t xml:space="preserve">Natura  •  Document de travail  •  Page </w:t>
    </w:r>
    <w:r>
      <w:rPr>
        <w:rFonts w:ascii="Calibri" w:hAnsi="Calibri"/>
        <w:color w:val="5F6B6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5" w:space="3" w:color="CBD5D0"/>
      </w:pBdr>
    </w:pPr>
    <w:r>
      <w:rPr>
        <w:rFonts w:ascii="Calibri" w:hAnsi="Calibri"/>
        <w:b/>
        <w:color w:val="5F6B65"/>
        <w:sz w:val="17"/>
      </w:rPr>
      <w:t>NATURA  |  PLAN DE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1723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454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Calibri" w:hAnsi="Calibri"/>
      <w:b w:val="0"/>
      <w:i/>
      <w:iCs/>
      <w:color w:val="5F6B6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 — Plan détaillé de réalisation v1.1</dc:title>
  <dc:subject>Plan directeur actualisé après audit senior et benchmark</dc:subject>
  <dc:creator>Projet Natura</dc:creator>
  <cp:keywords>Natura, Next.js, Supabase, PostgreSQL, plan de réalisation, SEO</cp:keywords>
  <dc:description>Version 1.0 - 2 août 2026</dc:description>
  <cp:lastModifiedBy/>
  <cp:revision>1</cp:revision>
  <dcterms:created xsi:type="dcterms:W3CDTF">2013-12-23T23:15:00Z</dcterms:created>
  <dcterms:modified xsi:type="dcterms:W3CDTF">2013-12-23T23:15:00Z</dcterms:modified>
  <cp:category/>
</cp:coreProperties>
</file>