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60" w:after="100"/>
      </w:pPr>
      <w:r>
        <w:rPr>
          <w:rFonts w:ascii="Aptos" w:hAnsi="Aptos"/>
          <w:b/>
          <w:i w:val="0"/>
          <w:color w:val="2E6B4F"/>
          <w:sz w:val="20"/>
        </w:rPr>
        <w:t>NOTE DE DECISION</w:t>
      </w:r>
    </w:p>
    <w:p>
      <w:pPr>
        <w:pStyle w:val="Title"/>
      </w:pPr>
      <w:r>
        <w:t>Natura : Firebase, SEO, Google Ads</w:t>
        <w:br/>
        <w:t>et utilisation professionnelle de ChatGPT/Codex</w:t>
      </w:r>
    </w:p>
    <w:p>
      <w:pPr>
        <w:pStyle w:val="Subtitle"/>
      </w:pPr>
      <w:r>
        <w:t>Architecture recommandée pour une plateforme anglophone mondiale de jardinage pratique</w:t>
      </w:r>
    </w:p>
    <w:tbl>
      <w:tblPr>
        <w:tblStyle w:val="TableGrid"/>
        <w:tblW w:type="dxa" w:w="9360"/>
        <w:tblLayout w:type="fixed"/>
        <w:tblLook w:firstColumn="1" w:firstRow="1" w:lastColumn="0" w:lastRow="0" w:noHBand="0" w:noVBand="1" w:val="04A0"/>
        <w:tblInd w:w="0" w:type="dxa"/>
      </w:tblPr>
      <w:tblGrid>
        <w:gridCol w:w="1550"/>
        <w:gridCol w:w="7810"/>
      </w:tblGrid>
      <w:tr>
        <w:tc>
          <w:tcPr>
            <w:tcW w:type="dxa" w:w="1550"/>
            <w:tcMar>
              <w:top w:w="90" w:type="dxa"/>
              <w:start w:w="120" w:type="dxa"/>
              <w:bottom w:w="90" w:type="dxa"/>
              <w:end w:w="120" w:type="dxa"/>
            </w:tcMar>
            <w:vAlign w:val="center"/>
            <w:shd w:fill="EAF4EE"/>
          </w:tcPr>
          <w:p>
            <w:r>
              <w:rPr>
                <w:rFonts w:ascii="Aptos" w:hAnsi="Aptos"/>
                <w:b/>
                <w:i w:val="0"/>
                <w:color w:val="173A2A"/>
                <w:sz w:val="19"/>
              </w:rPr>
              <w:t>Projet</w:t>
            </w:r>
          </w:p>
        </w:tc>
        <w:tc>
          <w:tcPr>
            <w:tcW w:type="dxa" w:w="7810"/>
            <w:tcMar>
              <w:top w:w="90" w:type="dxa"/>
              <w:start w:w="120" w:type="dxa"/>
              <w:bottom w:w="90" w:type="dxa"/>
              <w:end w:w="120" w:type="dxa"/>
            </w:tcMar>
            <w:vAlign w:val="center"/>
          </w:tcPr>
          <w:p>
            <w:r>
              <w:rPr>
                <w:rFonts w:ascii="Aptos" w:hAnsi="Aptos"/>
                <w:b w:val="0"/>
                <w:i w:val="0"/>
                <w:sz w:val="19"/>
              </w:rPr>
              <w:t>Natura - Practical small-space gardening for balconies, patios and containers</w:t>
            </w:r>
          </w:p>
        </w:tc>
      </w:tr>
      <w:tr>
        <w:tc>
          <w:tcPr>
            <w:tcW w:type="dxa" w:w="1550"/>
            <w:tcMar>
              <w:top w:w="90" w:type="dxa"/>
              <w:start w:w="120" w:type="dxa"/>
              <w:bottom w:w="90" w:type="dxa"/>
              <w:end w:w="120" w:type="dxa"/>
            </w:tcMar>
            <w:vAlign w:val="center"/>
            <w:shd w:fill="EAF4EE"/>
          </w:tcPr>
          <w:p>
            <w:r>
              <w:rPr>
                <w:rFonts w:ascii="Aptos" w:hAnsi="Aptos"/>
                <w:b/>
                <w:i w:val="0"/>
                <w:color w:val="173A2A"/>
                <w:sz w:val="19"/>
              </w:rPr>
              <w:t>Marché</w:t>
            </w:r>
          </w:p>
        </w:tc>
        <w:tc>
          <w:tcPr>
            <w:tcW w:type="dxa" w:w="7810"/>
            <w:tcMar>
              <w:top w:w="90" w:type="dxa"/>
              <w:start w:w="120" w:type="dxa"/>
              <w:bottom w:w="90" w:type="dxa"/>
              <w:end w:w="120" w:type="dxa"/>
            </w:tcMar>
            <w:vAlign w:val="center"/>
          </w:tcPr>
          <w:p>
            <w:r>
              <w:rPr>
                <w:rFonts w:ascii="Aptos" w:hAnsi="Aptos"/>
                <w:b w:val="0"/>
                <w:i w:val="0"/>
                <w:sz w:val="19"/>
              </w:rPr>
              <w:t>Anglophone mondial, avec les États-Unis comme marché de référence</w:t>
            </w:r>
          </w:p>
        </w:tc>
      </w:tr>
      <w:tr>
        <w:tc>
          <w:tcPr>
            <w:tcW w:type="dxa" w:w="1550"/>
            <w:tcMar>
              <w:top w:w="90" w:type="dxa"/>
              <w:start w:w="120" w:type="dxa"/>
              <w:bottom w:w="90" w:type="dxa"/>
              <w:end w:w="120" w:type="dxa"/>
            </w:tcMar>
            <w:vAlign w:val="center"/>
            <w:shd w:fill="EAF4EE"/>
          </w:tcPr>
          <w:p>
            <w:r>
              <w:rPr>
                <w:rFonts w:ascii="Aptos" w:hAnsi="Aptos"/>
                <w:b/>
                <w:i w:val="0"/>
                <w:color w:val="173A2A"/>
                <w:sz w:val="19"/>
              </w:rPr>
              <w:t>Décision</w:t>
            </w:r>
          </w:p>
        </w:tc>
        <w:tc>
          <w:tcPr>
            <w:tcW w:type="dxa" w:w="7810"/>
            <w:tcMar>
              <w:top w:w="90" w:type="dxa"/>
              <w:start w:w="120" w:type="dxa"/>
              <w:bottom w:w="90" w:type="dxa"/>
              <w:end w:w="120" w:type="dxa"/>
            </w:tcMar>
            <w:vAlign w:val="center"/>
          </w:tcPr>
          <w:p>
            <w:r>
              <w:rPr>
                <w:rFonts w:ascii="Aptos" w:hAnsi="Aptos"/>
                <w:b w:val="0"/>
                <w:i w:val="0"/>
                <w:sz w:val="19"/>
              </w:rPr>
              <w:t>Next.js App Router + Firebase App Hosting + Firestore + Storage + Auth administrateur</w:t>
            </w:r>
          </w:p>
        </w:tc>
      </w:tr>
      <w:tr>
        <w:tc>
          <w:tcPr>
            <w:tcW w:type="dxa" w:w="1550"/>
            <w:tcMar>
              <w:top w:w="90" w:type="dxa"/>
              <w:start w:w="120" w:type="dxa"/>
              <w:bottom w:w="90" w:type="dxa"/>
              <w:end w:w="120" w:type="dxa"/>
            </w:tcMar>
            <w:vAlign w:val="center"/>
            <w:shd w:fill="EAF4EE"/>
          </w:tcPr>
          <w:p>
            <w:r>
              <w:rPr>
                <w:rFonts w:ascii="Aptos" w:hAnsi="Aptos"/>
                <w:b/>
                <w:i w:val="0"/>
                <w:color w:val="173A2A"/>
                <w:sz w:val="19"/>
              </w:rPr>
              <w:t>Date</w:t>
            </w:r>
          </w:p>
        </w:tc>
        <w:tc>
          <w:tcPr>
            <w:tcW w:type="dxa" w:w="7810"/>
            <w:tcMar>
              <w:top w:w="90" w:type="dxa"/>
              <w:start w:w="120" w:type="dxa"/>
              <w:bottom w:w="90" w:type="dxa"/>
              <w:end w:w="120" w:type="dxa"/>
            </w:tcMar>
            <w:vAlign w:val="center"/>
          </w:tcPr>
          <w:p>
            <w:r>
              <w:rPr>
                <w:rFonts w:ascii="Aptos" w:hAnsi="Aptos"/>
                <w:b w:val="0"/>
                <w:i w:val="0"/>
                <w:sz w:val="19"/>
              </w:rPr>
              <w:t>2 aout 2026</w:t>
            </w:r>
          </w:p>
        </w:tc>
      </w:tr>
    </w:tbl>
    <w:p/>
    <w:tbl>
      <w:tblPr>
        <w:tblW w:type="dxa" w:w="9360"/>
        <w:tblLayout w:type="fixed"/>
        <w:tblLook w:firstColumn="1" w:firstRow="1" w:lastColumn="0" w:lastRow="0" w:noHBand="0" w:noVBand="1" w:val="04A0"/>
        <w:tblInd w:w="0" w:type="dxa"/>
      </w:tblPr>
      <w:tblGrid>
        <w:gridCol w:w="9360"/>
      </w:tblGrid>
      <w:tr>
        <w:trPr>
          <w:cantSplit/>
        </w:trPr>
        <w:tc>
          <w:tcPr>
            <w:tcW w:type="dxa" w:w="9360"/>
            <w:tcMar>
              <w:top w:w="90" w:type="dxa"/>
              <w:start w:w="120" w:type="dxa"/>
              <w:bottom w:w="90" w:type="dxa"/>
              <w:end w:w="120" w:type="dxa"/>
            </w:tcMar>
            <w:vAlign w:val="center"/>
            <w:shd w:fill="EAF4EE"/>
          </w:tcPr>
          <w:p>
            <w:pPr>
              <w:spacing w:after="40"/>
            </w:pPr>
            <w:r>
              <w:rPr>
                <w:rFonts w:ascii="Aptos" w:hAnsi="Aptos"/>
                <w:b/>
                <w:i w:val="0"/>
                <w:color w:val="2E6B4F"/>
                <w:sz w:val="22"/>
              </w:rPr>
              <w:t xml:space="preserve">Verdict. </w:t>
            </w:r>
            <w:r>
              <w:rPr>
                <w:rFonts w:ascii="Aptos" w:hAnsi="Aptos"/>
                <w:b w:val="0"/>
                <w:i w:val="0"/>
                <w:sz w:val="22"/>
              </w:rPr>
              <w:t>Firebase est un choix professionnel et economiquement raisonnable pour le lancement de Natura, a condition de pré-générer et mettre en cache les pages publiques, d'optimiser les images et de surveiller la facturation. Le site sera construit pour le SEO et Google Ads, mais aucun outil ne peut garantir le classement Google, l'acceptation publicitaire ou la rentabilite.</w:t>
            </w:r>
          </w:p>
        </w:tc>
      </w:tr>
    </w:tbl>
    <w:p>
      <w:pPr>
        <w:spacing w:after="20"/>
      </w:pPr>
    </w:p>
    <w:p>
      <w:pPr>
        <w:pStyle w:val="Heading1"/>
        <w:keepNext/>
      </w:pPr>
      <w:r>
        <w:t>1. Menu définitif et positionnement</w:t>
      </w:r>
    </w:p>
    <w:p>
      <w:pPr>
        <w:spacing w:after="120" w:line="264" w:lineRule="auto"/>
      </w:pPr>
      <w:r>
        <w:rPr>
          <w:rFonts w:ascii="Aptos" w:hAnsi="Aptos"/>
          <w:b w:val="0"/>
          <w:i w:val="0"/>
          <w:sz w:val="22"/>
        </w:rPr>
        <w:t>Le menu principal reste volontairement simple et aligne sur les segments porteurs du marché américain : graines, herbes, legumes, jardinage en contenants et petits espaces.</w:t>
      </w:r>
    </w:p>
    <w:tbl>
      <w:tblPr>
        <w:tblW w:type="dxa" w:w="9360"/>
        <w:tblLayout w:type="fixed"/>
        <w:tblLook w:firstColumn="1" w:firstRow="1" w:lastColumn="0" w:lastRow="0" w:noHBand="0" w:noVBand="1" w:val="04A0"/>
        <w:tblInd w:w="0" w:type="dxa"/>
      </w:tblPr>
      <w:tblGrid>
        <w:gridCol w:w="9360"/>
      </w:tblGrid>
      <w:tr>
        <w:trPr>
          <w:cantSplit/>
        </w:trPr>
        <w:tc>
          <w:tcPr>
            <w:tcW w:type="dxa" w:w="9360"/>
            <w:tcMar>
              <w:top w:w="90" w:type="dxa"/>
              <w:start w:w="120" w:type="dxa"/>
              <w:bottom w:w="90" w:type="dxa"/>
              <w:end w:w="120" w:type="dxa"/>
            </w:tcMar>
            <w:vAlign w:val="center"/>
            <w:shd w:fill="EAF4EE"/>
          </w:tcPr>
          <w:p>
            <w:pPr>
              <w:spacing w:after="40"/>
            </w:pPr>
            <w:r>
              <w:rPr>
                <w:rFonts w:ascii="Aptos" w:hAnsi="Aptos"/>
                <w:b/>
                <w:i w:val="0"/>
                <w:color w:val="2E6B4F"/>
                <w:sz w:val="22"/>
              </w:rPr>
              <w:t xml:space="preserve">Menu définitif : </w:t>
            </w:r>
            <w:r>
              <w:rPr>
                <w:rFonts w:ascii="Aptos" w:hAnsi="Aptos"/>
                <w:b w:val="0"/>
                <w:i w:val="0"/>
                <w:sz w:val="22"/>
              </w:rPr>
              <w:t>Grow | Small-Space Gardening | Plant Care | Planting Calendar | Tools | Reviews | Search</w:t>
            </w:r>
          </w:p>
        </w:tc>
      </w:tr>
    </w:tbl>
    <w:p>
      <w:pPr>
        <w:spacing w:after="20"/>
      </w:pPr>
    </w:p>
    <w:p>
      <w:r>
        <w:br w:type="page"/>
      </w:r>
    </w:p>
    <w:tbl>
      <w:tblPr>
        <w:tblStyle w:val="TableGrid"/>
        <w:tblW w:type="dxa" w:w="9360"/>
        <w:jc w:val="left"/>
        <w:tblLayout w:type="fixed"/>
        <w:tblLook w:firstColumn="1" w:firstRow="1" w:lastColumn="0" w:lastRow="0" w:noHBand="0" w:noVBand="1" w:val="04A0"/>
        <w:tblInd w:w="120" w:type="dxa"/>
      </w:tblPr>
      <w:tblGrid>
        <w:gridCol w:w="2350"/>
        <w:gridCol w:w="7010"/>
      </w:tblGrid>
      <w:tr>
        <w:trPr>
          <w:tblHeader w:val="true"/>
        </w:trPr>
        <w:tc>
          <w:tcPr>
            <w:tcW w:type="dxa" w:w="2350"/>
            <w:tcMar>
              <w:top w:w="90" w:type="dxa"/>
              <w:start w:w="120" w:type="dxa"/>
              <w:bottom w:w="90" w:type="dxa"/>
              <w:end w:w="120" w:type="dxa"/>
            </w:tcMar>
            <w:vAlign w:val="center"/>
            <w:shd w:fill="2E6B4F"/>
          </w:tcPr>
          <w:p>
            <w:pPr>
              <w:spacing w:after="0"/>
              <w:jc w:val="left"/>
            </w:pPr>
            <w:r>
              <w:rPr>
                <w:rFonts w:ascii="Aptos" w:hAnsi="Aptos"/>
                <w:b/>
                <w:i w:val="0"/>
                <w:color w:val="FFFFFF"/>
                <w:sz w:val="18"/>
              </w:rPr>
              <w:t>Menu</w:t>
            </w:r>
          </w:p>
        </w:tc>
        <w:tc>
          <w:tcPr>
            <w:tcW w:type="dxa" w:w="7010"/>
            <w:tcMar>
              <w:top w:w="90" w:type="dxa"/>
              <w:start w:w="120" w:type="dxa"/>
              <w:bottom w:w="90" w:type="dxa"/>
              <w:end w:w="120" w:type="dxa"/>
            </w:tcMar>
            <w:vAlign w:val="center"/>
            <w:shd w:fill="2E6B4F"/>
          </w:tcPr>
          <w:p>
            <w:pPr>
              <w:spacing w:after="0"/>
              <w:jc w:val="left"/>
            </w:pPr>
            <w:r>
              <w:rPr>
                <w:rFonts w:ascii="Aptos" w:hAnsi="Aptos"/>
                <w:b/>
                <w:i w:val="0"/>
                <w:color w:val="FFFFFF"/>
                <w:sz w:val="18"/>
              </w:rPr>
              <w:t>Sous-rubriques</w:t>
            </w:r>
          </w:p>
        </w:tc>
      </w:tr>
      <w:tr>
        <w:trPr>
          <w:cantSplit/>
        </w:trPr>
        <w:tc>
          <w:tcPr>
            <w:tcW w:type="dxa" w:w="2350"/>
          </w:tcPr>
          <w:p>
            <w:pPr>
              <w:spacing w:after="0" w:line="252" w:lineRule="auto"/>
            </w:pPr>
            <w:r>
              <w:rPr>
                <w:rFonts w:ascii="Aptos" w:hAnsi="Aptos"/>
                <w:b w:val="0"/>
                <w:i w:val="0"/>
                <w:sz w:val="18"/>
              </w:rPr>
              <w:t>Grow</w:t>
            </w:r>
          </w:p>
        </w:tc>
        <w:tc>
          <w:tcPr>
            <w:tcW w:type="dxa" w:w="7010"/>
          </w:tcPr>
          <w:p>
            <w:pPr>
              <w:spacing w:after="0" w:line="252" w:lineRule="auto"/>
            </w:pPr>
            <w:r>
              <w:rPr>
                <w:rFonts w:ascii="Aptos" w:hAnsi="Aptos"/>
                <w:b w:val="0"/>
                <w:i w:val="0"/>
                <w:sz w:val="18"/>
              </w:rPr>
              <w:t>Vegetables; Herbs; Fruits; Flowers; Growing from Seed; Plant Guides</w:t>
            </w:r>
          </w:p>
        </w:tc>
      </w:tr>
      <w:tr>
        <w:trPr>
          <w:cantSplit/>
        </w:trPr>
        <w:tc>
          <w:tcPr>
            <w:tcW w:type="dxa" w:w="2350"/>
            <w:shd w:fill="F5F7F6"/>
          </w:tcPr>
          <w:p>
            <w:pPr>
              <w:spacing w:after="0" w:line="252" w:lineRule="auto"/>
            </w:pPr>
            <w:r>
              <w:rPr>
                <w:rFonts w:ascii="Aptos" w:hAnsi="Aptos"/>
                <w:b w:val="0"/>
                <w:i w:val="0"/>
                <w:sz w:val="18"/>
              </w:rPr>
              <w:t>Small-Space Gardening</w:t>
            </w:r>
          </w:p>
        </w:tc>
        <w:tc>
          <w:tcPr>
            <w:tcW w:type="dxa" w:w="7010"/>
            <w:shd w:fill="F5F7F6"/>
          </w:tcPr>
          <w:p>
            <w:pPr>
              <w:spacing w:after="0" w:line="252" w:lineRule="auto"/>
            </w:pPr>
            <w:r>
              <w:rPr>
                <w:rFonts w:ascii="Aptos" w:hAnsi="Aptos"/>
                <w:b w:val="0"/>
                <w:i w:val="0"/>
                <w:sz w:val="18"/>
              </w:rPr>
              <w:t>Balcony; Containers; Patio; Indoor; Renter-Friendly Gardening</w:t>
            </w:r>
          </w:p>
        </w:tc>
      </w:tr>
      <w:tr>
        <w:trPr>
          <w:cantSplit/>
        </w:trPr>
        <w:tc>
          <w:tcPr>
            <w:tcW w:type="dxa" w:w="2350"/>
          </w:tcPr>
          <w:p>
            <w:pPr>
              <w:spacing w:after="0" w:line="252" w:lineRule="auto"/>
            </w:pPr>
            <w:r>
              <w:rPr>
                <w:rFonts w:ascii="Aptos" w:hAnsi="Aptos"/>
                <w:b w:val="0"/>
                <w:i w:val="0"/>
                <w:sz w:val="18"/>
              </w:rPr>
              <w:t>Plant Care</w:t>
            </w:r>
          </w:p>
        </w:tc>
        <w:tc>
          <w:tcPr>
            <w:tcW w:type="dxa" w:w="7010"/>
          </w:tcPr>
          <w:p>
            <w:pPr>
              <w:spacing w:after="0" w:line="252" w:lineRule="auto"/>
            </w:pPr>
            <w:r>
              <w:rPr>
                <w:rFonts w:ascii="Aptos" w:hAnsi="Aptos"/>
                <w:b w:val="0"/>
                <w:i w:val="0"/>
                <w:sz w:val="18"/>
              </w:rPr>
              <w:t>Watering; Soil &amp; Fertilizer; Pests; Diseases; Plant Problems; Seasonal Care</w:t>
            </w:r>
          </w:p>
        </w:tc>
      </w:tr>
      <w:tr>
        <w:trPr>
          <w:cantSplit/>
        </w:trPr>
        <w:tc>
          <w:tcPr>
            <w:tcW w:type="dxa" w:w="2350"/>
            <w:shd w:fill="F5F7F6"/>
          </w:tcPr>
          <w:p>
            <w:pPr>
              <w:spacing w:after="0" w:line="252" w:lineRule="auto"/>
            </w:pPr>
            <w:r>
              <w:rPr>
                <w:rFonts w:ascii="Aptos" w:hAnsi="Aptos"/>
                <w:b w:val="0"/>
                <w:i w:val="0"/>
                <w:sz w:val="18"/>
              </w:rPr>
              <w:t>Planting Calendar</w:t>
            </w:r>
          </w:p>
        </w:tc>
        <w:tc>
          <w:tcPr>
            <w:tcW w:type="dxa" w:w="7010"/>
            <w:shd w:fill="F5F7F6"/>
          </w:tcPr>
          <w:p>
            <w:pPr>
              <w:spacing w:after="0" w:line="252" w:lineRule="auto"/>
            </w:pPr>
            <w:r>
              <w:rPr>
                <w:rFonts w:ascii="Aptos" w:hAnsi="Aptos"/>
                <w:b w:val="0"/>
                <w:i w:val="0"/>
                <w:sz w:val="18"/>
              </w:rPr>
              <w:t>What to Plant Now; By Climate; By Hardiness Zone; Monthly Calendars; Frost Dates</w:t>
            </w:r>
          </w:p>
        </w:tc>
      </w:tr>
      <w:tr>
        <w:trPr>
          <w:cantSplit/>
        </w:trPr>
        <w:tc>
          <w:tcPr>
            <w:tcW w:type="dxa" w:w="2350"/>
          </w:tcPr>
          <w:p>
            <w:pPr>
              <w:spacing w:after="0" w:line="252" w:lineRule="auto"/>
            </w:pPr>
            <w:r>
              <w:rPr>
                <w:rFonts w:ascii="Aptos" w:hAnsi="Aptos"/>
                <w:b w:val="0"/>
                <w:i w:val="0"/>
                <w:sz w:val="18"/>
              </w:rPr>
              <w:t>Tools</w:t>
            </w:r>
          </w:p>
        </w:tc>
        <w:tc>
          <w:tcPr>
            <w:tcW w:type="dxa" w:w="7010"/>
          </w:tcPr>
          <w:p>
            <w:pPr>
              <w:spacing w:after="0" w:line="252" w:lineRule="auto"/>
            </w:pPr>
            <w:r>
              <w:rPr>
                <w:rFonts w:ascii="Aptos" w:hAnsi="Aptos"/>
                <w:b w:val="0"/>
                <w:i w:val="0"/>
                <w:sz w:val="18"/>
              </w:rPr>
              <w:t>Plant Finder; Planting Calendar; Watering Calculator; Pot Size Calculator; Garden Planner</w:t>
            </w:r>
          </w:p>
        </w:tc>
      </w:tr>
      <w:tr>
        <w:trPr>
          <w:cantSplit/>
        </w:trPr>
        <w:tc>
          <w:tcPr>
            <w:tcW w:type="dxa" w:w="2350"/>
            <w:shd w:fill="F5F7F6"/>
          </w:tcPr>
          <w:p>
            <w:pPr>
              <w:spacing w:after="0" w:line="252" w:lineRule="auto"/>
            </w:pPr>
            <w:r>
              <w:rPr>
                <w:rFonts w:ascii="Aptos" w:hAnsi="Aptos"/>
                <w:b w:val="0"/>
                <w:i w:val="0"/>
                <w:sz w:val="18"/>
              </w:rPr>
              <w:t>Reviews</w:t>
            </w:r>
          </w:p>
        </w:tc>
        <w:tc>
          <w:tcPr>
            <w:tcW w:type="dxa" w:w="7010"/>
            <w:shd w:fill="F5F7F6"/>
          </w:tcPr>
          <w:p>
            <w:pPr>
              <w:spacing w:after="0" w:line="252" w:lineRule="auto"/>
            </w:pPr>
            <w:r>
              <w:rPr>
                <w:rFonts w:ascii="Aptos" w:hAnsi="Aptos"/>
                <w:b w:val="0"/>
                <w:i w:val="0"/>
                <w:sz w:val="18"/>
              </w:rPr>
              <w:t>Seeds; Containers; Soil &amp; Fertilizer; Watering Systems; Grow Lights; Garden Tools</w:t>
            </w:r>
          </w:p>
        </w:tc>
      </w:tr>
      <w:tr>
        <w:trPr>
          <w:cantSplit/>
        </w:trPr>
        <w:tc>
          <w:tcPr>
            <w:tcW w:type="dxa" w:w="2350"/>
          </w:tcPr>
          <w:p>
            <w:pPr>
              <w:spacing w:after="0" w:line="252" w:lineRule="auto"/>
            </w:pPr>
            <w:r>
              <w:rPr>
                <w:rFonts w:ascii="Aptos" w:hAnsi="Aptos"/>
                <w:b w:val="0"/>
                <w:i w:val="0"/>
                <w:sz w:val="18"/>
              </w:rPr>
              <w:t>Search</w:t>
            </w:r>
          </w:p>
        </w:tc>
        <w:tc>
          <w:tcPr>
            <w:tcW w:type="dxa" w:w="7010"/>
          </w:tcPr>
          <w:p>
            <w:pPr>
              <w:spacing w:after="0" w:line="252" w:lineRule="auto"/>
            </w:pPr>
            <w:r>
              <w:rPr>
                <w:rFonts w:ascii="Aptos" w:hAnsi="Aptos"/>
                <w:b w:val="0"/>
                <w:i w:val="0"/>
                <w:sz w:val="18"/>
              </w:rPr>
              <w:t>Recherche globale par plante, probleme, climat ou guide</w:t>
            </w:r>
          </w:p>
        </w:tc>
      </w:tr>
    </w:tbl>
    <w:p>
      <w:pPr>
        <w:spacing w:after="40"/>
      </w:pPr>
    </w:p>
    <w:p>
      <w:pPr>
        <w:spacing w:after="120" w:line="264" w:lineRule="auto"/>
      </w:pPr>
      <w:r>
        <w:rPr>
          <w:rFonts w:ascii="Aptos" w:hAnsi="Aptos"/>
          <w:b w:val="0"/>
          <w:i w:val="0"/>
          <w:sz w:val="22"/>
        </w:rPr>
        <w:t>Le logo Natura ramene a l'accueil. Une page /start-here/ reste accessible depuis un bouton Start Growing sur l'accueil, sans surcharger la navigation principale.</w:t>
      </w:r>
    </w:p>
    <w:p>
      <w:pPr>
        <w:pStyle w:val="Heading1"/>
        <w:keepNext/>
      </w:pPr>
      <w:r>
        <w:t>2. Firebase est-il trop cher ?</w:t>
      </w:r>
    </w:p>
    <w:tbl>
      <w:tblPr>
        <w:tblW w:type="dxa" w:w="9360"/>
        <w:tblLayout w:type="fixed"/>
        <w:tblLook w:firstColumn="1" w:firstRow="1" w:lastColumn="0" w:lastRow="0" w:noHBand="0" w:noVBand="1" w:val="04A0"/>
        <w:tblInd w:w="0" w:type="dxa"/>
      </w:tblPr>
      <w:tblGrid>
        <w:gridCol w:w="9360"/>
      </w:tblGrid>
      <w:tr>
        <w:trPr>
          <w:cantSplit/>
        </w:trPr>
        <w:tc>
          <w:tcPr>
            <w:tcW w:type="dxa" w:w="9360"/>
            <w:tcMar>
              <w:top w:w="90" w:type="dxa"/>
              <w:start w:w="120" w:type="dxa"/>
              <w:bottom w:w="90" w:type="dxa"/>
              <w:end w:w="120" w:type="dxa"/>
            </w:tcMar>
            <w:vAlign w:val="center"/>
            <w:shd w:fill="EAF4EE"/>
          </w:tcPr>
          <w:p>
            <w:pPr>
              <w:spacing w:after="40"/>
            </w:pPr>
            <w:r>
              <w:rPr>
                <w:rFonts w:ascii="Aptos" w:hAnsi="Aptos"/>
                <w:b/>
                <w:i w:val="0"/>
                <w:color w:val="2E6B4F"/>
                <w:sz w:val="22"/>
              </w:rPr>
              <w:t xml:space="preserve">Réponse courte. </w:t>
            </w:r>
            <w:r>
              <w:rPr>
                <w:rFonts w:ascii="Aptos" w:hAnsi="Aptos"/>
                <w:b w:val="0"/>
                <w:i w:val="0"/>
                <w:sz w:val="22"/>
              </w:rPr>
              <w:t>Non pour le lancement et une croissance normale. Oui, il peut devenir coûteux si les pages sont lourdes, si chaque visite déclenche des lectures Firestore ou un rendu serveur non mis en cache, ou en cas de trafic abusif. Firebase App Hosting exige le forfait Blaze, facture a l'usage et ne constitue donc pas un forfait mensuel fixe. [1][2]</w:t>
            </w:r>
          </w:p>
        </w:tc>
      </w:tr>
    </w:tbl>
    <w:p>
      <w:pPr>
        <w:spacing w:after="20"/>
      </w:pPr>
    </w:p>
    <w:p>
      <w:pPr>
        <w:pStyle w:val="Heading2"/>
        <w:keepNext/>
      </w:pPr>
      <w:r>
        <w:t>2.1. Ce qui est gratuit ou presque au démarrage</w:t>
      </w:r>
    </w:p>
    <w:p>
      <w:pPr>
        <w:spacing w:after="120" w:line="264" w:lineRule="auto"/>
      </w:pPr>
      <w:r>
        <w:rPr>
          <w:rFonts w:ascii="Aptos" w:hAnsi="Aptos"/>
          <w:b w:val="0"/>
          <w:i w:val="0"/>
          <w:sz w:val="22"/>
        </w:rPr>
        <w:t>Les quotas officiels d'App Hosting comprennent notamment 10 Gio de bande passante sortante par mois, puis 0,15 USD/Gio pour le trafic mis en cache et 0,20 USD/Gio pour le trafic non mis en cache. Les quotas associés incluent aussi 2 millions de requetes Cloud Run, 180 000 vCPU-secondes, 360 000 Gio-secondes de memoire, 2 500 minutes Cloud Build et 0,5 Go d'Artifact Registry avant facturation supplémentaire. [1]</w:t>
      </w:r>
    </w:p>
    <w:p>
      <w:pPr>
        <w:spacing w:after="120" w:line="264" w:lineRule="auto"/>
      </w:pPr>
      <w:r>
        <w:rPr>
          <w:rFonts w:ascii="Aptos" w:hAnsi="Aptos"/>
          <w:b w:val="0"/>
          <w:i w:val="0"/>
          <w:sz w:val="22"/>
        </w:rPr>
        <w:t>Firestore Standard offre notamment, sous conditions de localisation et de compte, 1 Gio de stockage, 50 000 lectures par jour, 20 000 écritures par jour et 20 000 suppressions par jour sans coût. Les quotas et prix exacts doivent être contrôlés dans la région retenue. [2]</w:t>
      </w:r>
    </w:p>
    <w:p>
      <w:pPr>
        <w:pStyle w:val="Heading2"/>
        <w:keepNext/>
      </w:pPr>
      <w:r>
        <w:t>2.2. Estimation pédagogique du coût mensuel</w:t>
      </w:r>
    </w:p>
    <w:p>
      <w:pPr>
        <w:spacing w:after="120" w:line="264" w:lineRule="auto"/>
      </w:pPr>
      <w:r>
        <w:rPr>
          <w:rFonts w:ascii="Aptos" w:hAnsi="Aptos"/>
          <w:b w:val="0"/>
          <w:i w:val="0"/>
          <w:sz w:val="22"/>
        </w:rPr>
        <w:t>Hypothèse : 1 a 2 Mio transférés par page vue, contenu majoritairement servi depuis le cache, hors nom de domaine, messagerie, production éditoriale, Google Ads et services tiers. Ces chiffres sont des ordres de grandeur, pas un devis.</w:t>
      </w:r>
    </w:p>
    <w:tbl>
      <w:tblPr>
        <w:tblStyle w:val="TableGrid"/>
        <w:tblW w:type="dxa" w:w="9360"/>
        <w:jc w:val="left"/>
        <w:tblLayout w:type="fixed"/>
        <w:tblLook w:firstColumn="1" w:firstRow="1" w:lastColumn="0" w:lastRow="0" w:noHBand="0" w:noVBand="1" w:val="04A0"/>
        <w:tblInd w:w="120" w:type="dxa"/>
      </w:tblPr>
      <w:tblGrid>
        <w:gridCol w:w="1900"/>
        <w:gridCol w:w="1700"/>
        <w:gridCol w:w="1700"/>
        <w:gridCol w:w="4060"/>
      </w:tblGrid>
      <w:tr>
        <w:trPr>
          <w:tblHeader w:val="true"/>
        </w:trPr>
        <w:tc>
          <w:tcPr>
            <w:tcW w:type="dxa" w:w="1900"/>
            <w:tcMar>
              <w:top w:w="90" w:type="dxa"/>
              <w:start w:w="120" w:type="dxa"/>
              <w:bottom w:w="90" w:type="dxa"/>
              <w:end w:w="120" w:type="dxa"/>
            </w:tcMar>
            <w:vAlign w:val="center"/>
            <w:shd w:fill="2E6B4F"/>
          </w:tcPr>
          <w:p>
            <w:pPr>
              <w:spacing w:after="0"/>
              <w:jc w:val="left"/>
            </w:pPr>
            <w:r>
              <w:rPr>
                <w:rFonts w:ascii="Aptos" w:hAnsi="Aptos"/>
                <w:b/>
                <w:i w:val="0"/>
                <w:color w:val="FFFFFF"/>
                <w:sz w:val="17"/>
              </w:rPr>
              <w:t>Trafic</w:t>
            </w:r>
          </w:p>
        </w:tc>
        <w:tc>
          <w:tcPr>
            <w:tcW w:type="dxa" w:w="1700"/>
            <w:tcMar>
              <w:top w:w="90" w:type="dxa"/>
              <w:start w:w="120" w:type="dxa"/>
              <w:bottom w:w="90" w:type="dxa"/>
              <w:end w:w="120" w:type="dxa"/>
            </w:tcMar>
            <w:vAlign w:val="center"/>
            <w:shd w:fill="2E6B4F"/>
          </w:tcPr>
          <w:p>
            <w:pPr>
              <w:spacing w:after="0"/>
              <w:jc w:val="left"/>
            </w:pPr>
            <w:r>
              <w:rPr>
                <w:rFonts w:ascii="Aptos" w:hAnsi="Aptos"/>
                <w:b/>
                <w:i w:val="0"/>
                <w:color w:val="FFFFFF"/>
                <w:sz w:val="17"/>
              </w:rPr>
              <w:t>Transfert indicatif</w:t>
            </w:r>
          </w:p>
        </w:tc>
        <w:tc>
          <w:tcPr>
            <w:tcW w:type="dxa" w:w="1700"/>
            <w:tcMar>
              <w:top w:w="90" w:type="dxa"/>
              <w:start w:w="120" w:type="dxa"/>
              <w:bottom w:w="90" w:type="dxa"/>
              <w:end w:w="120" w:type="dxa"/>
            </w:tcMar>
            <w:vAlign w:val="center"/>
            <w:shd w:fill="2E6B4F"/>
          </w:tcPr>
          <w:p>
            <w:pPr>
              <w:spacing w:after="0"/>
              <w:jc w:val="left"/>
            </w:pPr>
            <w:r>
              <w:rPr>
                <w:rFonts w:ascii="Aptos" w:hAnsi="Aptos"/>
                <w:b/>
                <w:i w:val="0"/>
                <w:color w:val="FFFFFF"/>
                <w:sz w:val="17"/>
              </w:rPr>
              <w:t>Infrastructure estimee</w:t>
            </w:r>
          </w:p>
        </w:tc>
        <w:tc>
          <w:tcPr>
            <w:tcW w:type="dxa" w:w="4060"/>
            <w:tcMar>
              <w:top w:w="90" w:type="dxa"/>
              <w:start w:w="120" w:type="dxa"/>
              <w:bottom w:w="90" w:type="dxa"/>
              <w:end w:w="120" w:type="dxa"/>
            </w:tcMar>
            <w:vAlign w:val="center"/>
            <w:shd w:fill="2E6B4F"/>
          </w:tcPr>
          <w:p>
            <w:pPr>
              <w:spacing w:after="0"/>
              <w:jc w:val="left"/>
            </w:pPr>
            <w:r>
              <w:rPr>
                <w:rFonts w:ascii="Aptos" w:hAnsi="Aptos"/>
                <w:b/>
                <w:i w:val="0"/>
                <w:color w:val="FFFFFF"/>
                <w:sz w:val="17"/>
              </w:rPr>
              <w:t>Lecture</w:t>
            </w:r>
          </w:p>
        </w:tc>
      </w:tr>
      <w:tr>
        <w:trPr>
          <w:cantSplit/>
        </w:trPr>
        <w:tc>
          <w:tcPr>
            <w:tcW w:type="dxa" w:w="1900"/>
          </w:tcPr>
          <w:p>
            <w:pPr>
              <w:spacing w:after="0" w:line="252" w:lineRule="auto"/>
            </w:pPr>
            <w:r>
              <w:rPr>
                <w:rFonts w:ascii="Aptos" w:hAnsi="Aptos"/>
                <w:b w:val="0"/>
                <w:i w:val="0"/>
                <w:sz w:val="17"/>
              </w:rPr>
              <w:t>10 000 pages vues/mois</w:t>
            </w:r>
          </w:p>
        </w:tc>
        <w:tc>
          <w:tcPr>
            <w:tcW w:type="dxa" w:w="1700"/>
          </w:tcPr>
          <w:p>
            <w:pPr>
              <w:spacing w:after="0" w:line="252" w:lineRule="auto"/>
            </w:pPr>
            <w:r>
              <w:rPr>
                <w:rFonts w:ascii="Aptos" w:hAnsi="Aptos"/>
                <w:b w:val="0"/>
                <w:i w:val="0"/>
                <w:sz w:val="17"/>
              </w:rPr>
              <w:t>Environ 10-20 Gio</w:t>
            </w:r>
          </w:p>
        </w:tc>
        <w:tc>
          <w:tcPr>
            <w:tcW w:type="dxa" w:w="1700"/>
          </w:tcPr>
          <w:p>
            <w:pPr>
              <w:spacing w:after="0" w:line="252" w:lineRule="auto"/>
            </w:pPr>
            <w:r>
              <w:rPr>
                <w:rFonts w:ascii="Aptos" w:hAnsi="Aptos"/>
                <w:b w:val="0"/>
                <w:i w:val="0"/>
                <w:sz w:val="17"/>
              </w:rPr>
              <w:t>0 a 5 USD</w:t>
            </w:r>
          </w:p>
        </w:tc>
        <w:tc>
          <w:tcPr>
            <w:tcW w:type="dxa" w:w="4060"/>
          </w:tcPr>
          <w:p>
            <w:pPr>
              <w:spacing w:after="0" w:line="252" w:lineRule="auto"/>
            </w:pPr>
            <w:r>
              <w:rPr>
                <w:rFonts w:ascii="Aptos" w:hAnsi="Aptos"/>
                <w:b w:val="0"/>
                <w:i w:val="0"/>
                <w:sz w:val="17"/>
              </w:rPr>
              <w:t>Peut rester dans les quotas si les pages sont proches de 1 Mio.</w:t>
            </w:r>
          </w:p>
        </w:tc>
      </w:tr>
      <w:tr>
        <w:trPr>
          <w:cantSplit/>
        </w:trPr>
        <w:tc>
          <w:tcPr>
            <w:tcW w:type="dxa" w:w="1900"/>
            <w:shd w:fill="F5F7F6"/>
          </w:tcPr>
          <w:p>
            <w:pPr>
              <w:spacing w:after="0" w:line="252" w:lineRule="auto"/>
            </w:pPr>
            <w:r>
              <w:rPr>
                <w:rFonts w:ascii="Aptos" w:hAnsi="Aptos"/>
                <w:b w:val="0"/>
                <w:i w:val="0"/>
                <w:sz w:val="17"/>
              </w:rPr>
              <w:t>100 000 pages vues/mois</w:t>
            </w:r>
          </w:p>
        </w:tc>
        <w:tc>
          <w:tcPr>
            <w:tcW w:type="dxa" w:w="1700"/>
            <w:shd w:fill="F5F7F6"/>
          </w:tcPr>
          <w:p>
            <w:pPr>
              <w:spacing w:after="0" w:line="252" w:lineRule="auto"/>
            </w:pPr>
            <w:r>
              <w:rPr>
                <w:rFonts w:ascii="Aptos" w:hAnsi="Aptos"/>
                <w:b w:val="0"/>
                <w:i w:val="0"/>
                <w:sz w:val="17"/>
              </w:rPr>
              <w:t>Environ 98-195 Gio</w:t>
            </w:r>
          </w:p>
        </w:tc>
        <w:tc>
          <w:tcPr>
            <w:tcW w:type="dxa" w:w="1700"/>
            <w:shd w:fill="F5F7F6"/>
          </w:tcPr>
          <w:p>
            <w:pPr>
              <w:spacing w:after="0" w:line="252" w:lineRule="auto"/>
            </w:pPr>
            <w:r>
              <w:rPr>
                <w:rFonts w:ascii="Aptos" w:hAnsi="Aptos"/>
                <w:b w:val="0"/>
                <w:i w:val="0"/>
                <w:sz w:val="17"/>
              </w:rPr>
              <w:t>15 a 50 USD</w:t>
            </w:r>
          </w:p>
        </w:tc>
        <w:tc>
          <w:tcPr>
            <w:tcW w:type="dxa" w:w="4060"/>
            <w:shd w:fill="F5F7F6"/>
          </w:tcPr>
          <w:p>
            <w:pPr>
              <w:spacing w:after="0" w:line="252" w:lineRule="auto"/>
            </w:pPr>
            <w:r>
              <w:rPr>
                <w:rFonts w:ascii="Aptos" w:hAnsi="Aptos"/>
                <w:b w:val="0"/>
                <w:i w:val="0"/>
                <w:sz w:val="17"/>
              </w:rPr>
              <w:t>La bande passante devient le premier poste; le cache reste essentiel.</w:t>
            </w:r>
          </w:p>
        </w:tc>
      </w:tr>
      <w:tr>
        <w:trPr>
          <w:cantSplit/>
        </w:trPr>
        <w:tc>
          <w:tcPr>
            <w:tcW w:type="dxa" w:w="1900"/>
          </w:tcPr>
          <w:p>
            <w:pPr>
              <w:spacing w:after="0" w:line="252" w:lineRule="auto"/>
            </w:pPr>
            <w:r>
              <w:rPr>
                <w:rFonts w:ascii="Aptos" w:hAnsi="Aptos"/>
                <w:b w:val="0"/>
                <w:i w:val="0"/>
                <w:sz w:val="17"/>
              </w:rPr>
              <w:t>1 000 000 pages vues/mois</w:t>
            </w:r>
          </w:p>
        </w:tc>
        <w:tc>
          <w:tcPr>
            <w:tcW w:type="dxa" w:w="1700"/>
          </w:tcPr>
          <w:p>
            <w:pPr>
              <w:spacing w:after="0" w:line="252" w:lineRule="auto"/>
            </w:pPr>
            <w:r>
              <w:rPr>
                <w:rFonts w:ascii="Aptos" w:hAnsi="Aptos"/>
                <w:b w:val="0"/>
                <w:i w:val="0"/>
                <w:sz w:val="17"/>
              </w:rPr>
              <w:t>Environ 977-1 953 Gio</w:t>
            </w:r>
          </w:p>
        </w:tc>
        <w:tc>
          <w:tcPr>
            <w:tcW w:type="dxa" w:w="1700"/>
          </w:tcPr>
          <w:p>
            <w:pPr>
              <w:spacing w:after="0" w:line="252" w:lineRule="auto"/>
            </w:pPr>
            <w:r>
              <w:rPr>
                <w:rFonts w:ascii="Aptos" w:hAnsi="Aptos"/>
                <w:b w:val="0"/>
                <w:i w:val="0"/>
                <w:sz w:val="17"/>
              </w:rPr>
              <w:t>150 a 500 USD</w:t>
            </w:r>
          </w:p>
        </w:tc>
        <w:tc>
          <w:tcPr>
            <w:tcW w:type="dxa" w:w="4060"/>
          </w:tcPr>
          <w:p>
            <w:pPr>
              <w:spacing w:after="0" w:line="252" w:lineRule="auto"/>
            </w:pPr>
            <w:r>
              <w:rPr>
                <w:rFonts w:ascii="Aptos" w:hAnsi="Aptos"/>
                <w:b w:val="0"/>
                <w:i w:val="0"/>
                <w:sz w:val="17"/>
              </w:rPr>
              <w:t>Budget encore raisonnable pour un site monetise, mais optimisation et suivi obligatoires.</w:t>
            </w:r>
          </w:p>
        </w:tc>
      </w:tr>
    </w:tbl>
    <w:p>
      <w:pPr>
        <w:spacing w:after="40"/>
      </w:pPr>
    </w:p>
    <w:p>
      <w:pPr>
        <w:spacing w:after="120" w:line="264" w:lineRule="auto"/>
      </w:pPr>
      <w:r>
        <w:rPr>
          <w:rFonts w:ascii="Aptos" w:hAnsi="Aptos"/>
          <w:b w:val="0"/>
          <w:i w:val="0"/>
          <w:sz w:val="22"/>
        </w:rPr>
        <w:t>Exemple de calcul : a 1 Mio par page vue et 100 000 pages vues, environ 97,7 Gio sont transférés. Après les 10 Gio sans coût, la seule bande passante représente environ 13,15 USD si elle est mise en cache, ou 17,53 USD si elle ne l'est pas. Le reste dépend du calcul serveur, des journaux, du stockage et des accès à la base de données.</w:t>
      </w:r>
    </w:p>
    <w:p>
      <w:pPr>
        <w:pStyle w:val="Heading2"/>
        <w:keepNext/>
      </w:pPr>
      <w:r>
        <w:t>2.3. Architecture anti-surprise</w:t>
      </w:r>
    </w:p>
    <w:tbl>
      <w:tblPr>
        <w:tblStyle w:val="TableGrid"/>
        <w:tblW w:type="dxa" w:w="9360"/>
        <w:jc w:val="left"/>
        <w:tblLayout w:type="fixed"/>
        <w:tblLook w:firstColumn="1" w:firstRow="1" w:lastColumn="0" w:lastRow="0" w:noHBand="0" w:noVBand="1" w:val="04A0"/>
        <w:tblInd w:w="120" w:type="dxa"/>
      </w:tblPr>
      <w:tblGrid>
        <w:gridCol w:w="600"/>
        <w:gridCol w:w="8760"/>
      </w:tblGrid>
      <w:tr>
        <w:trPr>
          <w:tblHeader w:val="true"/>
        </w:trPr>
        <w:tc>
          <w:tcPr>
            <w:tcW w:type="dxa" w:w="600"/>
            <w:tcMar>
              <w:top w:w="90" w:type="dxa"/>
              <w:start w:w="120" w:type="dxa"/>
              <w:bottom w:w="90" w:type="dxa"/>
              <w:end w:w="120" w:type="dxa"/>
            </w:tcMar>
            <w:vAlign w:val="center"/>
            <w:shd w:fill="2E6B4F"/>
          </w:tcPr>
          <w:p>
            <w:pPr>
              <w:spacing w:after="0"/>
              <w:jc w:val="left"/>
            </w:pPr>
            <w:r>
              <w:rPr>
                <w:rFonts w:ascii="Aptos" w:hAnsi="Aptos"/>
                <w:b/>
                <w:i w:val="0"/>
                <w:color w:val="FFFFFF"/>
                <w:sz w:val="18"/>
              </w:rPr>
              <w:t>No.</w:t>
            </w:r>
          </w:p>
        </w:tc>
        <w:tc>
          <w:tcPr>
            <w:tcW w:type="dxa" w:w="8760"/>
            <w:tcMar>
              <w:top w:w="90" w:type="dxa"/>
              <w:start w:w="120" w:type="dxa"/>
              <w:bottom w:w="90" w:type="dxa"/>
              <w:end w:w="120" w:type="dxa"/>
            </w:tcMar>
            <w:vAlign w:val="center"/>
            <w:shd w:fill="2E6B4F"/>
          </w:tcPr>
          <w:p>
            <w:pPr>
              <w:spacing w:after="0"/>
              <w:jc w:val="left"/>
            </w:pPr>
            <w:r>
              <w:rPr>
                <w:rFonts w:ascii="Aptos" w:hAnsi="Aptos"/>
                <w:b/>
                <w:i w:val="0"/>
                <w:color w:val="FFFFFF"/>
                <w:sz w:val="18"/>
              </w:rPr>
              <w:t>Garde-fou</w:t>
            </w:r>
          </w:p>
        </w:tc>
      </w:tr>
      <w:tr>
        <w:trPr>
          <w:cantSplit/>
        </w:trPr>
        <w:tc>
          <w:tcPr>
            <w:tcW w:type="dxa" w:w="600"/>
          </w:tcPr>
          <w:p>
            <w:pPr>
              <w:spacing w:after="0" w:line="252" w:lineRule="auto"/>
            </w:pPr>
            <w:r>
              <w:rPr>
                <w:rFonts w:ascii="Aptos" w:hAnsi="Aptos"/>
                <w:b w:val="0"/>
                <w:i w:val="0"/>
                <w:sz w:val="18"/>
              </w:rPr>
              <w:t>1</w:t>
            </w:r>
          </w:p>
        </w:tc>
        <w:tc>
          <w:tcPr>
            <w:tcW w:type="dxa" w:w="8760"/>
          </w:tcPr>
          <w:p>
            <w:pPr>
              <w:spacing w:after="0" w:line="252" w:lineRule="auto"/>
            </w:pPr>
            <w:r>
              <w:rPr>
                <w:rFonts w:ascii="Aptos" w:hAnsi="Aptos"/>
                <w:b w:val="0"/>
                <w:i w:val="0"/>
                <w:sz w:val="18"/>
              </w:rPr>
              <w:t>Pré-générer les fiches publiques avec Next.js et les revalider après publication; ne pas faire une lecture Firestore directe dans le navigateur a chaque visite.</w:t>
            </w:r>
          </w:p>
        </w:tc>
      </w:tr>
      <w:tr>
        <w:trPr>
          <w:cantSplit/>
        </w:trPr>
        <w:tc>
          <w:tcPr>
            <w:tcW w:type="dxa" w:w="600"/>
            <w:shd w:fill="F5F7F6"/>
          </w:tcPr>
          <w:p>
            <w:pPr>
              <w:spacing w:after="0" w:line="252" w:lineRule="auto"/>
            </w:pPr>
            <w:r>
              <w:rPr>
                <w:rFonts w:ascii="Aptos" w:hAnsi="Aptos"/>
                <w:b w:val="0"/>
                <w:i w:val="0"/>
                <w:sz w:val="18"/>
              </w:rPr>
              <w:t>2</w:t>
            </w:r>
          </w:p>
        </w:tc>
        <w:tc>
          <w:tcPr>
            <w:tcW w:type="dxa" w:w="8760"/>
            <w:shd w:fill="F5F7F6"/>
          </w:tcPr>
          <w:p>
            <w:pPr>
              <w:spacing w:after="0" w:line="252" w:lineRule="auto"/>
            </w:pPr>
            <w:r>
              <w:rPr>
                <w:rFonts w:ascii="Aptos" w:hAnsi="Aptos"/>
                <w:b w:val="0"/>
                <w:i w:val="0"/>
                <w:sz w:val="18"/>
              </w:rPr>
              <w:t>Servir les images redimensionnées en WebP/AVIF, avec dimensions explicites et chargement différé hors écran.</w:t>
            </w:r>
          </w:p>
        </w:tc>
      </w:tr>
      <w:tr>
        <w:trPr>
          <w:cantSplit/>
        </w:trPr>
        <w:tc>
          <w:tcPr>
            <w:tcW w:type="dxa" w:w="600"/>
          </w:tcPr>
          <w:p>
            <w:pPr>
              <w:spacing w:after="0" w:line="252" w:lineRule="auto"/>
            </w:pPr>
            <w:r>
              <w:rPr>
                <w:rFonts w:ascii="Aptos" w:hAnsi="Aptos"/>
                <w:b w:val="0"/>
                <w:i w:val="0"/>
                <w:sz w:val="18"/>
              </w:rPr>
              <w:t>3</w:t>
            </w:r>
          </w:p>
        </w:tc>
        <w:tc>
          <w:tcPr>
            <w:tcW w:type="dxa" w:w="8760"/>
          </w:tcPr>
          <w:p>
            <w:pPr>
              <w:spacing w:after="0" w:line="252" w:lineRule="auto"/>
            </w:pPr>
            <w:r>
              <w:rPr>
                <w:rFonts w:ascii="Aptos" w:hAnsi="Aptos"/>
                <w:b w:val="0"/>
                <w:i w:val="0"/>
                <w:sz w:val="18"/>
              </w:rPr>
              <w:t>Mettre en cache les pages et les données publiques; réserver le rendu dynamique aux fonctions qui en ont réellement besoin.</w:t>
            </w:r>
          </w:p>
        </w:tc>
      </w:tr>
      <w:tr>
        <w:trPr>
          <w:cantSplit/>
        </w:trPr>
        <w:tc>
          <w:tcPr>
            <w:tcW w:type="dxa" w:w="600"/>
            <w:shd w:fill="F5F7F6"/>
          </w:tcPr>
          <w:p>
            <w:pPr>
              <w:spacing w:after="0" w:line="252" w:lineRule="auto"/>
            </w:pPr>
            <w:r>
              <w:rPr>
                <w:rFonts w:ascii="Aptos" w:hAnsi="Aptos"/>
                <w:b w:val="0"/>
                <w:i w:val="0"/>
                <w:sz w:val="18"/>
              </w:rPr>
              <w:t>4</w:t>
            </w:r>
          </w:p>
        </w:tc>
        <w:tc>
          <w:tcPr>
            <w:tcW w:type="dxa" w:w="8760"/>
            <w:shd w:fill="F5F7F6"/>
          </w:tcPr>
          <w:p>
            <w:pPr>
              <w:spacing w:after="0" w:line="252" w:lineRule="auto"/>
            </w:pPr>
            <w:r>
              <w:rPr>
                <w:rFonts w:ascii="Aptos" w:hAnsi="Aptos"/>
                <w:b w:val="0"/>
                <w:i w:val="0"/>
                <w:sz w:val="18"/>
              </w:rPr>
              <w:t>Limiter les tailles d'upload, protéger Firestore et Storage par des règles strictes, activer App Check lorsque pertinent et ajouter une limitation de débit aux API sensibles.</w:t>
            </w:r>
          </w:p>
        </w:tc>
      </w:tr>
      <w:tr>
        <w:trPr>
          <w:cantSplit/>
        </w:trPr>
        <w:tc>
          <w:tcPr>
            <w:tcW w:type="dxa" w:w="600"/>
          </w:tcPr>
          <w:p>
            <w:pPr>
              <w:spacing w:after="0" w:line="252" w:lineRule="auto"/>
            </w:pPr>
            <w:r>
              <w:rPr>
                <w:rFonts w:ascii="Aptos" w:hAnsi="Aptos"/>
                <w:b w:val="0"/>
                <w:i w:val="0"/>
                <w:sz w:val="18"/>
              </w:rPr>
              <w:t>5</w:t>
            </w:r>
          </w:p>
        </w:tc>
        <w:tc>
          <w:tcPr>
            <w:tcW w:type="dxa" w:w="8760"/>
          </w:tcPr>
          <w:p>
            <w:pPr>
              <w:spacing w:after="0" w:line="252" w:lineRule="auto"/>
            </w:pPr>
            <w:r>
              <w:rPr>
                <w:rFonts w:ascii="Aptos" w:hAnsi="Aptos"/>
                <w:b w:val="0"/>
                <w:i w:val="0"/>
                <w:sz w:val="18"/>
              </w:rPr>
              <w:t>Configurer des alertes de budget a plusieurs seuils et des alertes techniques sur les lectures, la bande passante et les erreurs.</w:t>
            </w:r>
          </w:p>
        </w:tc>
      </w:tr>
      <w:tr>
        <w:trPr>
          <w:cantSplit/>
        </w:trPr>
        <w:tc>
          <w:tcPr>
            <w:tcW w:type="dxa" w:w="600"/>
            <w:shd w:fill="F5F7F6"/>
          </w:tcPr>
          <w:p>
            <w:pPr>
              <w:spacing w:after="0" w:line="252" w:lineRule="auto"/>
            </w:pPr>
            <w:r>
              <w:rPr>
                <w:rFonts w:ascii="Aptos" w:hAnsi="Aptos"/>
                <w:b w:val="0"/>
                <w:i w:val="0"/>
                <w:sz w:val="18"/>
              </w:rPr>
              <w:t>6</w:t>
            </w:r>
          </w:p>
        </w:tc>
        <w:tc>
          <w:tcPr>
            <w:tcW w:type="dxa" w:w="8760"/>
            <w:shd w:fill="F5F7F6"/>
          </w:tcPr>
          <w:p>
            <w:pPr>
              <w:spacing w:after="0" w:line="252" w:lineRule="auto"/>
            </w:pPr>
            <w:r>
              <w:rPr>
                <w:rFonts w:ascii="Aptos" w:hAnsi="Aptos"/>
                <w:b w:val="0"/>
                <w:i w:val="0"/>
                <w:sz w:val="18"/>
              </w:rPr>
              <w:t>Conserver les secrets hors du dépôt et supprimer les journaux inutiles; éviter l'authentification par SMS tant qu'elle n'est pas nécessaire.</w:t>
            </w:r>
          </w:p>
        </w:tc>
      </w:tr>
    </w:tbl>
    <w:p>
      <w:pPr>
        <w:spacing w:after="40"/>
      </w:pPr>
    </w:p>
    <w:tbl>
      <w:tblPr>
        <w:tblW w:type="dxa" w:w="9360"/>
        <w:tblLayout w:type="fixed"/>
        <w:tblLook w:firstColumn="1" w:firstRow="1" w:lastColumn="0" w:lastRow="0" w:noHBand="0" w:noVBand="1" w:val="04A0"/>
        <w:tblInd w:w="0" w:type="dxa"/>
      </w:tblPr>
      <w:tblGrid>
        <w:gridCol w:w="9360"/>
      </w:tblGrid>
      <w:tr>
        <w:trPr>
          <w:cantSplit/>
        </w:trPr>
        <w:tc>
          <w:tcPr>
            <w:tcW w:type="dxa" w:w="9360"/>
            <w:tcMar>
              <w:top w:w="90" w:type="dxa"/>
              <w:start w:w="120" w:type="dxa"/>
              <w:bottom w:w="90" w:type="dxa"/>
              <w:end w:w="120" w:type="dxa"/>
            </w:tcMar>
            <w:vAlign w:val="center"/>
            <w:shd w:fill="FFF4E5"/>
          </w:tcPr>
          <w:p>
            <w:pPr>
              <w:spacing w:after="40"/>
            </w:pPr>
            <w:r>
              <w:rPr>
                <w:rFonts w:ascii="Aptos" w:hAnsi="Aptos"/>
                <w:b/>
                <w:i w:val="0"/>
                <w:color w:val="8A6500"/>
                <w:sz w:val="22"/>
              </w:rPr>
              <w:t xml:space="preserve">Attention. </w:t>
            </w:r>
            <w:r>
              <w:rPr>
                <w:rFonts w:ascii="Aptos" w:hAnsi="Aptos"/>
                <w:b w:val="0"/>
                <w:i w:val="0"/>
                <w:sz w:val="22"/>
              </w:rPr>
              <w:t>Les alertes de budget Firebase/Google Cloud ne bloquent pas automatiquement les dépenses et peuvent arriver avec retard. Il faut surveiller l'usage et, pour les services éligibles, évaluer les contrôles de coût plus stricts. [3]</w:t>
            </w:r>
          </w:p>
        </w:tc>
      </w:tr>
    </w:tbl>
    <w:p>
      <w:pPr>
        <w:spacing w:after="20"/>
      </w:pPr>
    </w:p>
    <w:p>
      <w:pPr>
        <w:pStyle w:val="Heading1"/>
        <w:keepNext/>
      </w:pPr>
      <w:r>
        <w:t>3. Natura sera-t-il optimisé pour le SEO ?</w:t>
      </w:r>
    </w:p>
    <w:tbl>
      <w:tblPr>
        <w:tblW w:type="dxa" w:w="9360"/>
        <w:tblLayout w:type="fixed"/>
        <w:tblLook w:firstColumn="1" w:firstRow="1" w:lastColumn="0" w:lastRow="0" w:noHBand="0" w:noVBand="1" w:val="04A0"/>
        <w:tblInd w:w="0" w:type="dxa"/>
      </w:tblPr>
      <w:tblGrid>
        <w:gridCol w:w="9360"/>
      </w:tblGrid>
      <w:tr>
        <w:trPr>
          <w:cantSplit/>
        </w:trPr>
        <w:tc>
          <w:tcPr>
            <w:tcW w:type="dxa" w:w="9360"/>
            <w:tcMar>
              <w:top w:w="90" w:type="dxa"/>
              <w:start w:w="120" w:type="dxa"/>
              <w:bottom w:w="90" w:type="dxa"/>
              <w:end w:w="120" w:type="dxa"/>
            </w:tcMar>
            <w:vAlign w:val="center"/>
            <w:shd w:fill="EAF4EE"/>
          </w:tcPr>
          <w:p>
            <w:pPr>
              <w:spacing w:after="40"/>
            </w:pPr>
            <w:r>
              <w:rPr>
                <w:rFonts w:ascii="Aptos" w:hAnsi="Aptos"/>
                <w:b/>
                <w:i w:val="0"/>
                <w:color w:val="2E6B4F"/>
                <w:sz w:val="22"/>
              </w:rPr>
              <w:t xml:space="preserve">Oui, au niveau technique et éditorial. </w:t>
            </w:r>
            <w:r>
              <w:rPr>
                <w:rFonts w:ascii="Aptos" w:hAnsi="Aptos"/>
                <w:b w:val="0"/>
                <w:i w:val="0"/>
                <w:sz w:val="22"/>
              </w:rPr>
              <w:t>Le site sera construit pour être exploré, compris et indexé. Cela augmente fortement son eligibilite, mais Google ne garantit ni l'indexation de chaque page ni une position particuliere. [4]</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tcMar>
              <w:top w:w="90" w:type="dxa"/>
              <w:start w:w="120" w:type="dxa"/>
              <w:bottom w:w="90" w:type="dxa"/>
              <w:end w:w="120" w:type="dxa"/>
            </w:tcMar>
            <w:vAlign w:val="center"/>
            <w:shd w:fill="2E6B4F"/>
          </w:tcPr>
          <w:p>
            <w:pPr>
              <w:spacing w:after="0"/>
              <w:jc w:val="left"/>
            </w:pPr>
            <w:r>
              <w:rPr>
                <w:rFonts w:ascii="Aptos" w:hAnsi="Aptos"/>
                <w:b/>
                <w:i w:val="0"/>
                <w:color w:val="FFFFFF"/>
                <w:sz w:val="18"/>
              </w:rPr>
              <w:t>Pilier</w:t>
            </w:r>
          </w:p>
        </w:tc>
        <w:tc>
          <w:tcPr>
            <w:tcW w:type="dxa" w:w="7460"/>
            <w:tcMar>
              <w:top w:w="90" w:type="dxa"/>
              <w:start w:w="120" w:type="dxa"/>
              <w:bottom w:w="90" w:type="dxa"/>
              <w:end w:w="120" w:type="dxa"/>
            </w:tcMar>
            <w:vAlign w:val="center"/>
            <w:shd w:fill="2E6B4F"/>
          </w:tcPr>
          <w:p>
            <w:pPr>
              <w:spacing w:after="0"/>
              <w:jc w:val="left"/>
            </w:pPr>
            <w:r>
              <w:rPr>
                <w:rFonts w:ascii="Aptos" w:hAnsi="Aptos"/>
                <w:b/>
                <w:i w:val="0"/>
                <w:color w:val="FFFFFF"/>
                <w:sz w:val="18"/>
              </w:rPr>
              <w:t>Implémentation Natura</w:t>
            </w:r>
          </w:p>
        </w:tc>
      </w:tr>
      <w:tr>
        <w:trPr>
          <w:cantSplit/>
        </w:trPr>
        <w:tc>
          <w:tcPr>
            <w:tcW w:type="dxa" w:w="1900"/>
          </w:tcPr>
          <w:p>
            <w:pPr>
              <w:spacing w:after="0" w:line="252" w:lineRule="auto"/>
            </w:pPr>
            <w:r>
              <w:rPr>
                <w:rFonts w:ascii="Aptos" w:hAnsi="Aptos"/>
                <w:b w:val="0"/>
                <w:i w:val="0"/>
                <w:sz w:val="18"/>
              </w:rPr>
              <w:t>Rendu</w:t>
            </w:r>
          </w:p>
        </w:tc>
        <w:tc>
          <w:tcPr>
            <w:tcW w:type="dxa" w:w="7460"/>
          </w:tcPr>
          <w:p>
            <w:pPr>
              <w:spacing w:after="0" w:line="252" w:lineRule="auto"/>
            </w:pPr>
            <w:r>
              <w:rPr>
                <w:rFonts w:ascii="Aptos" w:hAnsi="Aptos"/>
                <w:b w:val="0"/>
                <w:i w:val="0"/>
                <w:sz w:val="18"/>
              </w:rPr>
              <w:t>Pages HTML pré-générées ou rendues côté serveur; contenu principal visible sans attendre JavaScript.</w:t>
            </w:r>
          </w:p>
        </w:tc>
      </w:tr>
      <w:tr>
        <w:trPr>
          <w:cantSplit/>
        </w:trPr>
        <w:tc>
          <w:tcPr>
            <w:tcW w:type="dxa" w:w="1900"/>
            <w:shd w:fill="F5F7F6"/>
          </w:tcPr>
          <w:p>
            <w:pPr>
              <w:spacing w:after="0" w:line="252" w:lineRule="auto"/>
            </w:pPr>
            <w:r>
              <w:rPr>
                <w:rFonts w:ascii="Aptos" w:hAnsi="Aptos"/>
                <w:b w:val="0"/>
                <w:i w:val="0"/>
                <w:sz w:val="18"/>
              </w:rPr>
              <w:t>URLs</w:t>
            </w:r>
          </w:p>
        </w:tc>
        <w:tc>
          <w:tcPr>
            <w:tcW w:type="dxa" w:w="7460"/>
            <w:shd w:fill="F5F7F6"/>
          </w:tcPr>
          <w:p>
            <w:pPr>
              <w:spacing w:after="0" w:line="252" w:lineRule="auto"/>
            </w:pPr>
            <w:r>
              <w:rPr>
                <w:rFonts w:ascii="Aptos" w:hAnsi="Aptos"/>
                <w:b w:val="0"/>
                <w:i w:val="0"/>
                <w:sz w:val="18"/>
              </w:rPr>
              <w:t>Une URL stable par plante, probleme, guide, calendrier, outil et comparatif; filtres non indexables si repetitifs.</w:t>
            </w:r>
          </w:p>
        </w:tc>
      </w:tr>
      <w:tr>
        <w:trPr>
          <w:cantSplit/>
        </w:trPr>
        <w:tc>
          <w:tcPr>
            <w:tcW w:type="dxa" w:w="1900"/>
          </w:tcPr>
          <w:p>
            <w:pPr>
              <w:spacing w:after="0" w:line="252" w:lineRule="auto"/>
            </w:pPr>
            <w:r>
              <w:rPr>
                <w:rFonts w:ascii="Aptos" w:hAnsi="Aptos"/>
                <w:b w:val="0"/>
                <w:i w:val="0"/>
                <w:sz w:val="18"/>
              </w:rPr>
              <w:t>Metadonnées</w:t>
            </w:r>
          </w:p>
        </w:tc>
        <w:tc>
          <w:tcPr>
            <w:tcW w:type="dxa" w:w="7460"/>
          </w:tcPr>
          <w:p>
            <w:pPr>
              <w:spacing w:after="0" w:line="252" w:lineRule="auto"/>
            </w:pPr>
            <w:r>
              <w:rPr>
                <w:rFonts w:ascii="Aptos" w:hAnsi="Aptos"/>
                <w:b w:val="0"/>
                <w:i w:val="0"/>
                <w:sz w:val="18"/>
              </w:rPr>
              <w:t>Title, meta description, canonical, Open Graph, données sociales et hreflang lorsque de vraies versions linguistiques existent.</w:t>
            </w:r>
          </w:p>
        </w:tc>
      </w:tr>
      <w:tr>
        <w:trPr>
          <w:cantSplit/>
        </w:trPr>
        <w:tc>
          <w:tcPr>
            <w:tcW w:type="dxa" w:w="1900"/>
            <w:shd w:fill="F5F7F6"/>
          </w:tcPr>
          <w:p>
            <w:pPr>
              <w:spacing w:after="0" w:line="252" w:lineRule="auto"/>
            </w:pPr>
            <w:r>
              <w:rPr>
                <w:rFonts w:ascii="Aptos" w:hAnsi="Aptos"/>
                <w:b w:val="0"/>
                <w:i w:val="0"/>
                <w:sz w:val="18"/>
              </w:rPr>
              <w:t>Structure</w:t>
            </w:r>
          </w:p>
        </w:tc>
        <w:tc>
          <w:tcPr>
            <w:tcW w:type="dxa" w:w="7460"/>
            <w:shd w:fill="F5F7F6"/>
          </w:tcPr>
          <w:p>
            <w:pPr>
              <w:spacing w:after="0" w:line="252" w:lineRule="auto"/>
            </w:pPr>
            <w:r>
              <w:rPr>
                <w:rFonts w:ascii="Aptos" w:hAnsi="Aptos"/>
                <w:b w:val="0"/>
                <w:i w:val="0"/>
                <w:sz w:val="18"/>
              </w:rPr>
              <w:t>Un H1, titres hiérarchisés, fil d'Ariane, liens HTML explorables, sitemap.xml, robots.txt et page 404 propre.</w:t>
            </w:r>
          </w:p>
        </w:tc>
      </w:tr>
      <w:tr>
        <w:trPr>
          <w:cantSplit/>
        </w:trPr>
        <w:tc>
          <w:tcPr>
            <w:tcW w:type="dxa" w:w="1900"/>
          </w:tcPr>
          <w:p>
            <w:pPr>
              <w:spacing w:after="0" w:line="252" w:lineRule="auto"/>
            </w:pPr>
            <w:r>
              <w:rPr>
                <w:rFonts w:ascii="Aptos" w:hAnsi="Aptos"/>
                <w:b w:val="0"/>
                <w:i w:val="0"/>
                <w:sz w:val="18"/>
              </w:rPr>
              <w:t>Données structurées</w:t>
            </w:r>
          </w:p>
        </w:tc>
        <w:tc>
          <w:tcPr>
            <w:tcW w:type="dxa" w:w="7460"/>
          </w:tcPr>
          <w:p>
            <w:pPr>
              <w:spacing w:after="0" w:line="252" w:lineRule="auto"/>
            </w:pPr>
            <w:r>
              <w:rPr>
                <w:rFonts w:ascii="Aptos" w:hAnsi="Aptos"/>
                <w:b w:val="0"/>
                <w:i w:val="0"/>
                <w:sz w:val="18"/>
              </w:rPr>
              <w:t>WebSite, Organization, BreadcrumbList, Article/WebPage et, seulement si exact, Product/Review ou Recipe.</w:t>
            </w:r>
          </w:p>
        </w:tc>
      </w:tr>
      <w:tr>
        <w:trPr>
          <w:cantSplit/>
        </w:trPr>
        <w:tc>
          <w:tcPr>
            <w:tcW w:type="dxa" w:w="1900"/>
            <w:shd w:fill="F5F7F6"/>
          </w:tcPr>
          <w:p>
            <w:pPr>
              <w:spacing w:after="0" w:line="252" w:lineRule="auto"/>
            </w:pPr>
            <w:r>
              <w:rPr>
                <w:rFonts w:ascii="Aptos" w:hAnsi="Aptos"/>
                <w:b w:val="0"/>
                <w:i w:val="0"/>
                <w:sz w:val="18"/>
              </w:rPr>
              <w:t>Performance</w:t>
            </w:r>
          </w:p>
        </w:tc>
        <w:tc>
          <w:tcPr>
            <w:tcW w:type="dxa" w:w="7460"/>
            <w:shd w:fill="F5F7F6"/>
          </w:tcPr>
          <w:p>
            <w:pPr>
              <w:spacing w:after="0" w:line="252" w:lineRule="auto"/>
            </w:pPr>
            <w:r>
              <w:rPr>
                <w:rFonts w:ascii="Aptos" w:hAnsi="Aptos"/>
                <w:b w:val="0"/>
                <w:i w:val="0"/>
                <w:sz w:val="18"/>
              </w:rPr>
              <w:t>Objectifs LCP &lt;= 2,5 s, INP &lt;= 200 ms et CLS &lt;= 0,1; suivi par données réelles et Lighthouse. [5]</w:t>
            </w:r>
          </w:p>
        </w:tc>
      </w:tr>
      <w:tr>
        <w:trPr>
          <w:cantSplit/>
        </w:trPr>
        <w:tc>
          <w:tcPr>
            <w:tcW w:type="dxa" w:w="1900"/>
          </w:tcPr>
          <w:p>
            <w:pPr>
              <w:spacing w:after="0" w:line="252" w:lineRule="auto"/>
            </w:pPr>
            <w:r>
              <w:rPr>
                <w:rFonts w:ascii="Aptos" w:hAnsi="Aptos"/>
                <w:b w:val="0"/>
                <w:i w:val="0"/>
                <w:sz w:val="18"/>
              </w:rPr>
              <w:t>Contenu</w:t>
            </w:r>
          </w:p>
        </w:tc>
        <w:tc>
          <w:tcPr>
            <w:tcW w:type="dxa" w:w="7460"/>
          </w:tcPr>
          <w:p>
            <w:pPr>
              <w:spacing w:after="0" w:line="252" w:lineRule="auto"/>
            </w:pPr>
            <w:r>
              <w:rPr>
                <w:rFonts w:ascii="Aptos" w:hAnsi="Aptos"/>
                <w:b w:val="0"/>
                <w:i w:val="0"/>
                <w:sz w:val="18"/>
              </w:rPr>
              <w:t>Réponses originales, photos ou illustrations utiles, données climatiques fiables, méthodologie visible et auteurs identifiés.</w:t>
            </w:r>
          </w:p>
        </w:tc>
      </w:tr>
      <w:tr>
        <w:trPr>
          <w:cantSplit/>
        </w:trPr>
        <w:tc>
          <w:tcPr>
            <w:tcW w:type="dxa" w:w="1900"/>
            <w:shd w:fill="F5F7F6"/>
          </w:tcPr>
          <w:p>
            <w:pPr>
              <w:spacing w:after="0" w:line="252" w:lineRule="auto"/>
            </w:pPr>
            <w:r>
              <w:rPr>
                <w:rFonts w:ascii="Aptos" w:hAnsi="Aptos"/>
                <w:b w:val="0"/>
                <w:i w:val="0"/>
                <w:sz w:val="18"/>
              </w:rPr>
              <w:t>Mesure</w:t>
            </w:r>
          </w:p>
        </w:tc>
        <w:tc>
          <w:tcPr>
            <w:tcW w:type="dxa" w:w="7460"/>
            <w:shd w:fill="F5F7F6"/>
          </w:tcPr>
          <w:p>
            <w:pPr>
              <w:spacing w:after="0" w:line="252" w:lineRule="auto"/>
            </w:pPr>
            <w:r>
              <w:rPr>
                <w:rFonts w:ascii="Aptos" w:hAnsi="Aptos"/>
                <w:b w:val="0"/>
                <w:i w:val="0"/>
                <w:sz w:val="18"/>
              </w:rPr>
              <w:t>Google Search Console, Bing Webmaster Tools, GA4 avec consentement et tableau de suivi des pages/indexation.</w:t>
            </w:r>
          </w:p>
        </w:tc>
      </w:tr>
    </w:tbl>
    <w:p>
      <w:pPr>
        <w:spacing w:after="40"/>
      </w:pPr>
    </w:p>
    <w:p>
      <w:pPr>
        <w:spacing w:after="120" w:line="264" w:lineRule="auto"/>
      </w:pPr>
      <w:r>
        <w:rPr>
          <w:rFonts w:ascii="Aptos" w:hAnsi="Aptos"/>
          <w:b w:val="0"/>
          <w:i w:val="0"/>
          <w:sz w:val="22"/>
        </w:rPr>
        <w:t>Le facteur décisif restera le contenu. Un site techniquement parfait ne se classera pas durablement si ses pages sont génériques, dupliquées ou créées uniquement pour capter des mots-clés. Natura doit apporter une valeur propre : diagnostics précis, calendriers par climat, outils pratiques, photos originales, comparaisons utiles et sources horticoles fiables.</w:t>
      </w:r>
    </w:p>
    <w:p>
      <w:pPr>
        <w:pStyle w:val="Heading1"/>
        <w:keepNext/>
      </w:pPr>
      <w:r>
        <w:t>4. Natura sera-t-il optimisé pour Google Ads ?</w:t>
      </w:r>
    </w:p>
    <w:p>
      <w:pPr>
        <w:spacing w:after="120" w:line="264" w:lineRule="auto"/>
      </w:pPr>
      <w:r>
        <w:rPr>
          <w:rFonts w:ascii="Aptos" w:hAnsi="Aptos"/>
          <w:b w:val="0"/>
          <w:i w:val="0"/>
          <w:sz w:val="22"/>
        </w:rPr>
        <w:t>Oui, l'architecture sera prête pour Google Ads, mais il faut distinguer le site de la campagne. Le développement peut rendre les pages rapides, mesurables et conformes; la performance commerciale dépendra ensuite des mots-clés, annonces, offres, ciblages et budgets.</w:t>
      </w:r>
    </w:p>
    <w:tbl>
      <w:tblPr>
        <w:tblStyle w:val="TableGrid"/>
        <w:tblW w:type="dxa" w:w="9360"/>
        <w:jc w:val="left"/>
        <w:tblLayout w:type="fixed"/>
        <w:tblLook w:firstColumn="1" w:firstRow="1" w:lastColumn="0" w:lastRow="0" w:noHBand="0" w:noVBand="1" w:val="04A0"/>
        <w:tblInd w:w="120" w:type="dxa"/>
      </w:tblPr>
      <w:tblGrid>
        <w:gridCol w:w="1900"/>
        <w:gridCol w:w="7460"/>
      </w:tblGrid>
      <w:tr>
        <w:trPr>
          <w:tblHeader w:val="true"/>
        </w:trPr>
        <w:tc>
          <w:tcPr>
            <w:tcW w:type="dxa" w:w="1900"/>
            <w:tcMar>
              <w:top w:w="90" w:type="dxa"/>
              <w:start w:w="120" w:type="dxa"/>
              <w:bottom w:w="90" w:type="dxa"/>
              <w:end w:w="120" w:type="dxa"/>
            </w:tcMar>
            <w:vAlign w:val="center"/>
            <w:shd w:fill="2E6B4F"/>
          </w:tcPr>
          <w:p>
            <w:pPr>
              <w:spacing w:after="0"/>
              <w:jc w:val="left"/>
            </w:pPr>
            <w:r>
              <w:rPr>
                <w:rFonts w:ascii="Aptos" w:hAnsi="Aptos"/>
                <w:b/>
                <w:i w:val="0"/>
                <w:color w:val="FFFFFF"/>
                <w:sz w:val="18"/>
              </w:rPr>
              <w:t>Exigence</w:t>
            </w:r>
          </w:p>
        </w:tc>
        <w:tc>
          <w:tcPr>
            <w:tcW w:type="dxa" w:w="7460"/>
            <w:tcMar>
              <w:top w:w="90" w:type="dxa"/>
              <w:start w:w="120" w:type="dxa"/>
              <w:bottom w:w="90" w:type="dxa"/>
              <w:end w:w="120" w:type="dxa"/>
            </w:tcMar>
            <w:vAlign w:val="center"/>
            <w:shd w:fill="2E6B4F"/>
          </w:tcPr>
          <w:p>
            <w:pPr>
              <w:spacing w:after="0"/>
              <w:jc w:val="left"/>
            </w:pPr>
            <w:r>
              <w:rPr>
                <w:rFonts w:ascii="Aptos" w:hAnsi="Aptos"/>
                <w:b/>
                <w:i w:val="0"/>
                <w:color w:val="FFFFFF"/>
                <w:sz w:val="18"/>
              </w:rPr>
              <w:t>Préparation recommandée</w:t>
            </w:r>
          </w:p>
        </w:tc>
      </w:tr>
      <w:tr>
        <w:trPr>
          <w:cantSplit/>
        </w:trPr>
        <w:tc>
          <w:tcPr>
            <w:tcW w:type="dxa" w:w="1900"/>
          </w:tcPr>
          <w:p>
            <w:pPr>
              <w:spacing w:after="0" w:line="252" w:lineRule="auto"/>
            </w:pPr>
            <w:r>
              <w:rPr>
                <w:rFonts w:ascii="Aptos" w:hAnsi="Aptos"/>
                <w:b w:val="0"/>
                <w:i w:val="0"/>
                <w:sz w:val="18"/>
              </w:rPr>
              <w:t>Pertinence</w:t>
            </w:r>
          </w:p>
        </w:tc>
        <w:tc>
          <w:tcPr>
            <w:tcW w:type="dxa" w:w="7460"/>
          </w:tcPr>
          <w:p>
            <w:pPr>
              <w:spacing w:after="0" w:line="252" w:lineRule="auto"/>
            </w:pPr>
            <w:r>
              <w:rPr>
                <w:rFonts w:ascii="Aptos" w:hAnsi="Aptos"/>
                <w:b w:val="0"/>
                <w:i w:val="0"/>
                <w:sz w:val="18"/>
              </w:rPr>
              <w:t>Une page d'atterrissage spécifique par intention; le texte de l'annonce, le mot-cle et la page doivent promettre la même chose.</w:t>
            </w:r>
          </w:p>
        </w:tc>
      </w:tr>
      <w:tr>
        <w:trPr>
          <w:cantSplit/>
        </w:trPr>
        <w:tc>
          <w:tcPr>
            <w:tcW w:type="dxa" w:w="1900"/>
            <w:shd w:fill="F5F7F6"/>
          </w:tcPr>
          <w:p>
            <w:pPr>
              <w:spacing w:after="0" w:line="252" w:lineRule="auto"/>
            </w:pPr>
            <w:r>
              <w:rPr>
                <w:rFonts w:ascii="Aptos" w:hAnsi="Aptos"/>
                <w:b w:val="0"/>
                <w:i w:val="0"/>
                <w:sz w:val="18"/>
              </w:rPr>
              <w:t>Mobile et vitesse</w:t>
            </w:r>
          </w:p>
        </w:tc>
        <w:tc>
          <w:tcPr>
            <w:tcW w:type="dxa" w:w="7460"/>
            <w:shd w:fill="F5F7F6"/>
          </w:tcPr>
          <w:p>
            <w:pPr>
              <w:spacing w:after="0" w:line="252" w:lineRule="auto"/>
            </w:pPr>
            <w:r>
              <w:rPr>
                <w:rFonts w:ascii="Aptos" w:hAnsi="Aptos"/>
                <w:b w:val="0"/>
                <w:i w:val="0"/>
                <w:sz w:val="18"/>
              </w:rPr>
              <w:t>Navigation simple, chargement rapide, appels a l'action visibles, formulaires courts et aucun interstitiel agressif.</w:t>
            </w:r>
          </w:p>
        </w:tc>
      </w:tr>
      <w:tr>
        <w:trPr>
          <w:cantSplit/>
        </w:trPr>
        <w:tc>
          <w:tcPr>
            <w:tcW w:type="dxa" w:w="1900"/>
          </w:tcPr>
          <w:p>
            <w:pPr>
              <w:spacing w:after="0" w:line="252" w:lineRule="auto"/>
            </w:pPr>
            <w:r>
              <w:rPr>
                <w:rFonts w:ascii="Aptos" w:hAnsi="Aptos"/>
                <w:b w:val="0"/>
                <w:i w:val="0"/>
                <w:sz w:val="18"/>
              </w:rPr>
              <w:t>Mesure</w:t>
            </w:r>
          </w:p>
        </w:tc>
        <w:tc>
          <w:tcPr>
            <w:tcW w:type="dxa" w:w="7460"/>
          </w:tcPr>
          <w:p>
            <w:pPr>
              <w:spacing w:after="0" w:line="252" w:lineRule="auto"/>
            </w:pPr>
            <w:r>
              <w:rPr>
                <w:rFonts w:ascii="Aptos" w:hAnsi="Aptos"/>
                <w:b w:val="0"/>
                <w:i w:val="0"/>
                <w:sz w:val="18"/>
              </w:rPr>
              <w:t>GA4 + Google Tag Manager + balise Google Ads; conversions définies (inscription, téléchargement, clic affilié ou achat futur).</w:t>
            </w:r>
          </w:p>
        </w:tc>
      </w:tr>
      <w:tr>
        <w:trPr>
          <w:cantSplit/>
        </w:trPr>
        <w:tc>
          <w:tcPr>
            <w:tcW w:type="dxa" w:w="1900"/>
            <w:shd w:fill="F5F7F6"/>
          </w:tcPr>
          <w:p>
            <w:pPr>
              <w:spacing w:after="0" w:line="252" w:lineRule="auto"/>
            </w:pPr>
            <w:r>
              <w:rPr>
                <w:rFonts w:ascii="Aptos" w:hAnsi="Aptos"/>
                <w:b w:val="0"/>
                <w:i w:val="0"/>
                <w:sz w:val="18"/>
              </w:rPr>
              <w:t>Consentement</w:t>
            </w:r>
          </w:p>
        </w:tc>
        <w:tc>
          <w:tcPr>
            <w:tcW w:type="dxa" w:w="7460"/>
            <w:shd w:fill="F5F7F6"/>
          </w:tcPr>
          <w:p>
            <w:pPr>
              <w:spacing w:after="0" w:line="252" w:lineRule="auto"/>
            </w:pPr>
            <w:r>
              <w:rPr>
                <w:rFonts w:ascii="Aptos" w:hAnsi="Aptos"/>
                <w:b w:val="0"/>
                <w:i w:val="0"/>
                <w:sz w:val="18"/>
              </w:rPr>
              <w:t>Bannière de consentement et Consent Mode v2 lorsque nécessaire, notamment pour les visiteurs de l'EEE/Royaume-Uni.</w:t>
            </w:r>
          </w:p>
        </w:tc>
      </w:tr>
      <w:tr>
        <w:trPr>
          <w:cantSplit/>
        </w:trPr>
        <w:tc>
          <w:tcPr>
            <w:tcW w:type="dxa" w:w="1900"/>
          </w:tcPr>
          <w:p>
            <w:pPr>
              <w:spacing w:after="0" w:line="252" w:lineRule="auto"/>
            </w:pPr>
            <w:r>
              <w:rPr>
                <w:rFonts w:ascii="Aptos" w:hAnsi="Aptos"/>
                <w:b w:val="0"/>
                <w:i w:val="0"/>
                <w:sz w:val="18"/>
              </w:rPr>
              <w:t>Confiance</w:t>
            </w:r>
          </w:p>
        </w:tc>
        <w:tc>
          <w:tcPr>
            <w:tcW w:type="dxa" w:w="7460"/>
          </w:tcPr>
          <w:p>
            <w:pPr>
              <w:spacing w:after="0" w:line="252" w:lineRule="auto"/>
            </w:pPr>
            <w:r>
              <w:rPr>
                <w:rFonts w:ascii="Aptos" w:hAnsi="Aptos"/>
                <w:b w:val="0"/>
                <w:i w:val="0"/>
                <w:sz w:val="18"/>
              </w:rPr>
              <w:t>Contact, politique de confidentialite, conditions, mentions d'affiliation et informations commerciales transparentes.</w:t>
            </w:r>
          </w:p>
        </w:tc>
      </w:tr>
      <w:tr>
        <w:trPr>
          <w:cantSplit/>
        </w:trPr>
        <w:tc>
          <w:tcPr>
            <w:tcW w:type="dxa" w:w="1900"/>
            <w:shd w:fill="F5F7F6"/>
          </w:tcPr>
          <w:p>
            <w:pPr>
              <w:spacing w:after="0" w:line="252" w:lineRule="auto"/>
            </w:pPr>
            <w:r>
              <w:rPr>
                <w:rFonts w:ascii="Aptos" w:hAnsi="Aptos"/>
                <w:b w:val="0"/>
                <w:i w:val="0"/>
                <w:sz w:val="18"/>
              </w:rPr>
              <w:t>Conformité</w:t>
            </w:r>
          </w:p>
        </w:tc>
        <w:tc>
          <w:tcPr>
            <w:tcW w:type="dxa" w:w="7460"/>
            <w:shd w:fill="F5F7F6"/>
          </w:tcPr>
          <w:p>
            <w:pPr>
              <w:spacing w:after="0" w:line="252" w:lineRule="auto"/>
            </w:pPr>
            <w:r>
              <w:rPr>
                <w:rFonts w:ascii="Aptos" w:hAnsi="Aptos"/>
                <w:b w:val="0"/>
                <w:i w:val="0"/>
                <w:sz w:val="18"/>
              </w:rPr>
              <w:t>Domaine final cohérent, site fonctionnel, valeur unique et navigation utilisable; exigences officielles de destination. [6][7]</w:t>
            </w:r>
          </w:p>
        </w:tc>
      </w:tr>
    </w:tbl>
    <w:p>
      <w:pPr>
        <w:spacing w:after="40"/>
      </w:pPr>
    </w:p>
    <w:tbl>
      <w:tblPr>
        <w:tblW w:type="dxa" w:w="9360"/>
        <w:tblLayout w:type="fixed"/>
        <w:tblLook w:firstColumn="1" w:firstRow="1" w:lastColumn="0" w:lastRow="0" w:noHBand="0" w:noVBand="1" w:val="04A0"/>
        <w:tblInd w:w="0" w:type="dxa"/>
      </w:tblPr>
      <w:tblGrid>
        <w:gridCol w:w="9360"/>
      </w:tblGrid>
      <w:tr>
        <w:trPr>
          <w:cantSplit/>
        </w:trPr>
        <w:tc>
          <w:tcPr>
            <w:tcW w:type="dxa" w:w="9360"/>
            <w:tcMar>
              <w:top w:w="90" w:type="dxa"/>
              <w:start w:w="120" w:type="dxa"/>
              <w:bottom w:w="90" w:type="dxa"/>
              <w:end w:w="120" w:type="dxa"/>
            </w:tcMar>
            <w:vAlign w:val="center"/>
            <w:shd w:fill="EAF4EE"/>
          </w:tcPr>
          <w:p>
            <w:pPr>
              <w:spacing w:after="40"/>
            </w:pPr>
            <w:r>
              <w:rPr>
                <w:rFonts w:ascii="Aptos" w:hAnsi="Aptos"/>
                <w:b/>
                <w:i w:val="0"/>
                <w:color w:val="2E6B4F"/>
                <w:sz w:val="22"/>
              </w:rPr>
              <w:t xml:space="preserve">Décision marketing. </w:t>
            </w:r>
            <w:r>
              <w:rPr>
                <w:rFonts w:ascii="Aptos" w:hAnsi="Aptos"/>
                <w:b w:val="0"/>
                <w:i w:val="0"/>
                <w:sz w:val="22"/>
              </w:rPr>
              <w:t>Ne pas acheter un volume important de trafic au lancement. Commencer par une petite campagne test sur quelques pages a forte intention, avec conversions correctement mesurées, puis augmenter seulement si le coût d'acquisition et la valeur par visite sont acceptables.</w:t>
            </w:r>
          </w:p>
        </w:tc>
      </w:tr>
    </w:tbl>
    <w:p>
      <w:pPr>
        <w:spacing w:after="20"/>
      </w:pPr>
    </w:p>
    <w:p>
      <w:pPr>
        <w:pStyle w:val="Heading2"/>
        <w:keepNext/>
      </w:pPr>
      <w:r>
        <w:t>4.1. Google Ads et Google AdSense ne sont pas la même chose</w:t>
      </w:r>
    </w:p>
    <w:p>
      <w:pPr>
        <w:spacing w:after="120" w:line="264" w:lineRule="auto"/>
      </w:pPr>
      <w:r>
        <w:rPr>
          <w:rFonts w:ascii="Aptos" w:hAnsi="Aptos"/>
          <w:b w:val="0"/>
          <w:i w:val="0"/>
          <w:sz w:val="22"/>
        </w:rPr>
        <w:t>Google Ads sert a acheter du trafic. Google AdSense sert a afficher des publicités sur Natura pour gagner de l'argent. Le site peut être prepare pour les deux, mais leur activation doit être séparée. Pour AdSense, l'approbation n'est pas garantie; il faudra du contenu original, une navigation claire, des pages légales, un trafic licite et une densite publicitaire raisonnable. Les publicités ne devront pas détériorer les Core Web Vitals ni masquer le contenu.</w:t>
      </w:r>
    </w:p>
    <w:p>
      <w:pPr>
        <w:pStyle w:val="Heading1"/>
        <w:keepNext/>
      </w:pPr>
      <w:r>
        <w:t>5. Quelle surface ChatGPT utiliser professionnellement ?</w:t>
      </w:r>
    </w:p>
    <w:tbl>
      <w:tblPr>
        <w:tblW w:type="dxa" w:w="9360"/>
        <w:tblLayout w:type="fixed"/>
        <w:tblLook w:firstColumn="1" w:firstRow="1" w:lastColumn="0" w:lastRow="0" w:noHBand="0" w:noVBand="1" w:val="04A0"/>
        <w:tblInd w:w="0" w:type="dxa"/>
      </w:tblPr>
      <w:tblGrid>
        <w:gridCol w:w="9360"/>
      </w:tblGrid>
      <w:tr>
        <w:trPr>
          <w:cantSplit/>
        </w:trPr>
        <w:tc>
          <w:tcPr>
            <w:tcW w:type="dxa" w:w="9360"/>
            <w:tcMar>
              <w:top w:w="90" w:type="dxa"/>
              <w:start w:w="120" w:type="dxa"/>
              <w:bottom w:w="90" w:type="dxa"/>
              <w:end w:w="120" w:type="dxa"/>
            </w:tcMar>
            <w:vAlign w:val="center"/>
            <w:shd w:fill="EAF4EE"/>
          </w:tcPr>
          <w:p>
            <w:pPr>
              <w:spacing w:after="40"/>
            </w:pPr>
            <w:r>
              <w:rPr>
                <w:rFonts w:ascii="Aptos" w:hAnsi="Aptos"/>
                <w:b/>
                <w:i w:val="0"/>
                <w:color w:val="2E6B4F"/>
                <w:sz w:val="22"/>
              </w:rPr>
              <w:t xml:space="preserve">Recommandation. </w:t>
            </w:r>
            <w:r>
              <w:rPr>
                <w:rFonts w:ascii="Aptos" w:hAnsi="Aptos"/>
                <w:b w:val="0"/>
                <w:i w:val="0"/>
                <w:sz w:val="22"/>
              </w:rPr>
              <w:t>Utiliser l'application desktop comme espace de travail principal, créer un Projet ChatGPT nommé Natura, employer ChatGPT Work pour les livrables non-code et Codex pour le dépôt de code. Le chat simple reste utile pour les questions rapides. Ces éléments sont complémentaires, pas concurrents. [8][9]</w:t>
            </w:r>
          </w:p>
        </w:tc>
      </w:tr>
    </w:tbl>
    <w:p>
      <w:pPr>
        <w:spacing w:after="20"/>
      </w:pPr>
    </w:p>
    <w:tbl>
      <w:tblPr>
        <w:tblStyle w:val="TableGrid"/>
        <w:tblW w:type="dxa" w:w="9360"/>
        <w:jc w:val="left"/>
        <w:tblLayout w:type="fixed"/>
        <w:tblLook w:firstColumn="1" w:firstRow="1" w:lastColumn="0" w:lastRow="0" w:noHBand="0" w:noVBand="1" w:val="04A0"/>
        <w:tblInd w:w="120" w:type="dxa"/>
      </w:tblPr>
      <w:tblGrid>
        <w:gridCol w:w="1700"/>
        <w:gridCol w:w="1900"/>
        <w:gridCol w:w="5760"/>
      </w:tblGrid>
      <w:tr>
        <w:trPr>
          <w:tblHeader w:val="true"/>
        </w:trPr>
        <w:tc>
          <w:tcPr>
            <w:tcW w:type="dxa" w:w="1700"/>
            <w:tcMar>
              <w:top w:w="90" w:type="dxa"/>
              <w:start w:w="120" w:type="dxa"/>
              <w:bottom w:w="90" w:type="dxa"/>
              <w:end w:w="120" w:type="dxa"/>
            </w:tcMar>
            <w:vAlign w:val="center"/>
            <w:shd w:fill="2E6B4F"/>
          </w:tcPr>
          <w:p>
            <w:pPr>
              <w:spacing w:after="0"/>
              <w:jc w:val="left"/>
            </w:pPr>
            <w:r>
              <w:rPr>
                <w:rFonts w:ascii="Aptos" w:hAnsi="Aptos"/>
                <w:b/>
                <w:i w:val="0"/>
                <w:color w:val="FFFFFF"/>
                <w:sz w:val="18"/>
              </w:rPr>
              <w:t>Surface</w:t>
            </w:r>
          </w:p>
        </w:tc>
        <w:tc>
          <w:tcPr>
            <w:tcW w:type="dxa" w:w="1900"/>
            <w:tcMar>
              <w:top w:w="90" w:type="dxa"/>
              <w:start w:w="120" w:type="dxa"/>
              <w:bottom w:w="90" w:type="dxa"/>
              <w:end w:w="120" w:type="dxa"/>
            </w:tcMar>
            <w:vAlign w:val="center"/>
            <w:shd w:fill="2E6B4F"/>
          </w:tcPr>
          <w:p>
            <w:pPr>
              <w:spacing w:after="0"/>
              <w:jc w:val="left"/>
            </w:pPr>
            <w:r>
              <w:rPr>
                <w:rFonts w:ascii="Aptos" w:hAnsi="Aptos"/>
                <w:b/>
                <w:i w:val="0"/>
                <w:color w:val="FFFFFF"/>
                <w:sz w:val="18"/>
              </w:rPr>
              <w:t>Role</w:t>
            </w:r>
          </w:p>
        </w:tc>
        <w:tc>
          <w:tcPr>
            <w:tcW w:type="dxa" w:w="5760"/>
            <w:tcMar>
              <w:top w:w="90" w:type="dxa"/>
              <w:start w:w="120" w:type="dxa"/>
              <w:bottom w:w="90" w:type="dxa"/>
              <w:end w:w="120" w:type="dxa"/>
            </w:tcMar>
            <w:vAlign w:val="center"/>
            <w:shd w:fill="2E6B4F"/>
          </w:tcPr>
          <w:p>
            <w:pPr>
              <w:spacing w:after="0"/>
              <w:jc w:val="left"/>
            </w:pPr>
            <w:r>
              <w:rPr>
                <w:rFonts w:ascii="Aptos" w:hAnsi="Aptos"/>
                <w:b/>
                <w:i w:val="0"/>
                <w:color w:val="FFFFFF"/>
                <w:sz w:val="18"/>
              </w:rPr>
              <w:t>Usage pour Natura</w:t>
            </w:r>
          </w:p>
        </w:tc>
      </w:tr>
      <w:tr>
        <w:trPr>
          <w:cantSplit/>
        </w:trPr>
        <w:tc>
          <w:tcPr>
            <w:tcW w:type="dxa" w:w="1700"/>
          </w:tcPr>
          <w:p>
            <w:pPr>
              <w:spacing w:after="0" w:line="252" w:lineRule="auto"/>
            </w:pPr>
            <w:r>
              <w:rPr>
                <w:rFonts w:ascii="Aptos" w:hAnsi="Aptos"/>
                <w:b w:val="0"/>
                <w:i w:val="0"/>
                <w:sz w:val="18"/>
              </w:rPr>
              <w:t>Projet Natura</w:t>
            </w:r>
          </w:p>
        </w:tc>
        <w:tc>
          <w:tcPr>
            <w:tcW w:type="dxa" w:w="1900"/>
          </w:tcPr>
          <w:p>
            <w:pPr>
              <w:spacing w:after="0" w:line="252" w:lineRule="auto"/>
            </w:pPr>
            <w:r>
              <w:rPr>
                <w:rFonts w:ascii="Aptos" w:hAnsi="Aptos"/>
                <w:b w:val="0"/>
                <w:i w:val="0"/>
                <w:sz w:val="18"/>
              </w:rPr>
              <w:t>Conteneur permanent</w:t>
            </w:r>
          </w:p>
        </w:tc>
        <w:tc>
          <w:tcPr>
            <w:tcW w:type="dxa" w:w="5760"/>
          </w:tcPr>
          <w:p>
            <w:pPr>
              <w:spacing w:after="0" w:line="252" w:lineRule="auto"/>
            </w:pPr>
            <w:r>
              <w:rPr>
                <w:rFonts w:ascii="Aptos" w:hAnsi="Aptos"/>
                <w:b w:val="0"/>
                <w:i w:val="0"/>
                <w:sz w:val="18"/>
              </w:rPr>
              <w:t>Instructions, fichiers, sources et chats liés au même projet. A utiliser systematiquement pour Natura.</w:t>
            </w:r>
          </w:p>
        </w:tc>
      </w:tr>
      <w:tr>
        <w:trPr>
          <w:cantSplit/>
        </w:trPr>
        <w:tc>
          <w:tcPr>
            <w:tcW w:type="dxa" w:w="1700"/>
            <w:shd w:fill="F5F7F6"/>
          </w:tcPr>
          <w:p>
            <w:pPr>
              <w:spacing w:after="0" w:line="252" w:lineRule="auto"/>
            </w:pPr>
            <w:r>
              <w:rPr>
                <w:rFonts w:ascii="Aptos" w:hAnsi="Aptos"/>
                <w:b w:val="0"/>
                <w:i w:val="0"/>
                <w:sz w:val="18"/>
              </w:rPr>
              <w:t>Chat</w:t>
            </w:r>
          </w:p>
        </w:tc>
        <w:tc>
          <w:tcPr>
            <w:tcW w:type="dxa" w:w="1900"/>
            <w:shd w:fill="F5F7F6"/>
          </w:tcPr>
          <w:p>
            <w:pPr>
              <w:spacing w:after="0" w:line="252" w:lineRule="auto"/>
            </w:pPr>
            <w:r>
              <w:rPr>
                <w:rFonts w:ascii="Aptos" w:hAnsi="Aptos"/>
                <w:b w:val="0"/>
                <w:i w:val="0"/>
                <w:sz w:val="18"/>
              </w:rPr>
              <w:t>Question courte</w:t>
            </w:r>
          </w:p>
        </w:tc>
        <w:tc>
          <w:tcPr>
            <w:tcW w:type="dxa" w:w="5760"/>
            <w:shd w:fill="F5F7F6"/>
          </w:tcPr>
          <w:p>
            <w:pPr>
              <w:spacing w:after="0" w:line="252" w:lineRule="auto"/>
            </w:pPr>
            <w:r>
              <w:rPr>
                <w:rFonts w:ascii="Aptos" w:hAnsi="Aptos"/>
                <w:b w:val="0"/>
                <w:i w:val="0"/>
                <w:sz w:val="18"/>
              </w:rPr>
              <w:t>Explication, décision rapide, réformulation ou petit brainstorming sans modification du dépôt.</w:t>
            </w:r>
          </w:p>
        </w:tc>
      </w:tr>
      <w:tr>
        <w:trPr>
          <w:cantSplit/>
        </w:trPr>
        <w:tc>
          <w:tcPr>
            <w:tcW w:type="dxa" w:w="1700"/>
          </w:tcPr>
          <w:p>
            <w:pPr>
              <w:spacing w:after="0" w:line="252" w:lineRule="auto"/>
            </w:pPr>
            <w:r>
              <w:rPr>
                <w:rFonts w:ascii="Aptos" w:hAnsi="Aptos"/>
                <w:b w:val="0"/>
                <w:i w:val="0"/>
                <w:sz w:val="18"/>
              </w:rPr>
              <w:t>ChatGPT Work</w:t>
            </w:r>
          </w:p>
        </w:tc>
        <w:tc>
          <w:tcPr>
            <w:tcW w:type="dxa" w:w="1900"/>
          </w:tcPr>
          <w:p>
            <w:pPr>
              <w:spacing w:after="0" w:line="252" w:lineRule="auto"/>
            </w:pPr>
            <w:r>
              <w:rPr>
                <w:rFonts w:ascii="Aptos" w:hAnsi="Aptos"/>
                <w:b w:val="0"/>
                <w:i w:val="0"/>
                <w:sz w:val="18"/>
              </w:rPr>
              <w:t>Livrable complexe non-code</w:t>
            </w:r>
          </w:p>
        </w:tc>
        <w:tc>
          <w:tcPr>
            <w:tcW w:type="dxa" w:w="5760"/>
          </w:tcPr>
          <w:p>
            <w:pPr>
              <w:spacing w:after="0" w:line="252" w:lineRule="auto"/>
            </w:pPr>
            <w:r>
              <w:rPr>
                <w:rFonts w:ascii="Aptos" w:hAnsi="Aptos"/>
                <w:b w:val="0"/>
                <w:i w:val="0"/>
                <w:sz w:val="18"/>
              </w:rPr>
              <w:t>Etude SEO, document Word, tableur, plan de contenu, analyse de sources ou rapport reutilisable.</w:t>
            </w:r>
          </w:p>
        </w:tc>
      </w:tr>
      <w:tr>
        <w:trPr>
          <w:cantSplit/>
        </w:trPr>
        <w:tc>
          <w:tcPr>
            <w:tcW w:type="dxa" w:w="1700"/>
            <w:shd w:fill="F5F7F6"/>
          </w:tcPr>
          <w:p>
            <w:pPr>
              <w:spacing w:after="0" w:line="252" w:lineRule="auto"/>
            </w:pPr>
            <w:r>
              <w:rPr>
                <w:rFonts w:ascii="Aptos" w:hAnsi="Aptos"/>
                <w:b w:val="0"/>
                <w:i w:val="0"/>
                <w:sz w:val="18"/>
              </w:rPr>
              <w:t>Codex</w:t>
            </w:r>
          </w:p>
        </w:tc>
        <w:tc>
          <w:tcPr>
            <w:tcW w:type="dxa" w:w="1900"/>
            <w:shd w:fill="F5F7F6"/>
          </w:tcPr>
          <w:p>
            <w:pPr>
              <w:spacing w:after="0" w:line="252" w:lineRule="auto"/>
            </w:pPr>
            <w:r>
              <w:rPr>
                <w:rFonts w:ascii="Aptos" w:hAnsi="Aptos"/>
                <w:b w:val="0"/>
                <w:i w:val="0"/>
                <w:sz w:val="18"/>
              </w:rPr>
              <w:t>Travail logiciel</w:t>
            </w:r>
          </w:p>
        </w:tc>
        <w:tc>
          <w:tcPr>
            <w:tcW w:type="dxa" w:w="5760"/>
            <w:shd w:fill="F5F7F6"/>
          </w:tcPr>
          <w:p>
            <w:pPr>
              <w:spacing w:after="0" w:line="252" w:lineRule="auto"/>
            </w:pPr>
            <w:r>
              <w:rPr>
                <w:rFonts w:ascii="Aptos" w:hAnsi="Aptos"/>
                <w:b w:val="0"/>
                <w:i w:val="0"/>
                <w:sz w:val="18"/>
              </w:rPr>
              <w:t>Lire et modifier le dépôt, exécuter les commandes, migrer Vite vers Next.js, tester, corriger et revoir le code.</w:t>
            </w:r>
          </w:p>
        </w:tc>
      </w:tr>
      <w:tr>
        <w:trPr>
          <w:cantSplit/>
        </w:trPr>
        <w:tc>
          <w:tcPr>
            <w:tcW w:type="dxa" w:w="1700"/>
          </w:tcPr>
          <w:p>
            <w:pPr>
              <w:spacing w:after="0" w:line="252" w:lineRule="auto"/>
            </w:pPr>
            <w:r>
              <w:rPr>
                <w:rFonts w:ascii="Aptos" w:hAnsi="Aptos"/>
                <w:b w:val="0"/>
                <w:i w:val="0"/>
                <w:sz w:val="18"/>
              </w:rPr>
              <w:t>Application desktop</w:t>
            </w:r>
          </w:p>
        </w:tc>
        <w:tc>
          <w:tcPr>
            <w:tcW w:type="dxa" w:w="1900"/>
          </w:tcPr>
          <w:p>
            <w:pPr>
              <w:spacing w:after="0" w:line="252" w:lineRule="auto"/>
            </w:pPr>
            <w:r>
              <w:rPr>
                <w:rFonts w:ascii="Aptos" w:hAnsi="Aptos"/>
                <w:b w:val="0"/>
                <w:i w:val="0"/>
                <w:sz w:val="18"/>
              </w:rPr>
              <w:t>Travail local professionnel</w:t>
            </w:r>
          </w:p>
        </w:tc>
        <w:tc>
          <w:tcPr>
            <w:tcW w:type="dxa" w:w="5760"/>
          </w:tcPr>
          <w:p>
            <w:pPr>
              <w:spacing w:after="0" w:line="252" w:lineRule="auto"/>
            </w:pPr>
            <w:r>
              <w:rPr>
                <w:rFonts w:ascii="Aptos" w:hAnsi="Aptos"/>
                <w:b w:val="0"/>
                <w:i w:val="0"/>
                <w:sz w:val="18"/>
              </w:rPr>
              <w:t>Meilleur choix lorsque le travail doit accéder au dossier local, afficher les différénces, tester le site et suivre un chantier long.</w:t>
            </w:r>
          </w:p>
        </w:tc>
      </w:tr>
      <w:tr>
        <w:trPr>
          <w:cantSplit/>
        </w:trPr>
        <w:tc>
          <w:tcPr>
            <w:tcW w:type="dxa" w:w="1700"/>
            <w:shd w:fill="F5F7F6"/>
          </w:tcPr>
          <w:p>
            <w:pPr>
              <w:spacing w:after="0" w:line="252" w:lineRule="auto"/>
            </w:pPr>
            <w:r>
              <w:rPr>
                <w:rFonts w:ascii="Aptos" w:hAnsi="Aptos"/>
                <w:b w:val="0"/>
                <w:i w:val="0"/>
                <w:sz w:val="18"/>
              </w:rPr>
              <w:t>Web</w:t>
            </w:r>
          </w:p>
        </w:tc>
        <w:tc>
          <w:tcPr>
            <w:tcW w:type="dxa" w:w="1900"/>
            <w:shd w:fill="F5F7F6"/>
          </w:tcPr>
          <w:p>
            <w:pPr>
              <w:spacing w:after="0" w:line="252" w:lineRule="auto"/>
            </w:pPr>
            <w:r>
              <w:rPr>
                <w:rFonts w:ascii="Aptos" w:hAnsi="Aptos"/>
                <w:b w:val="0"/>
                <w:i w:val="0"/>
                <w:sz w:val="18"/>
              </w:rPr>
              <w:t>Travail cloud et consultation</w:t>
            </w:r>
          </w:p>
        </w:tc>
        <w:tc>
          <w:tcPr>
            <w:tcW w:type="dxa" w:w="5760"/>
            <w:shd w:fill="F5F7F6"/>
          </w:tcPr>
          <w:p>
            <w:pPr>
              <w:spacing w:after="0" w:line="252" w:lineRule="auto"/>
            </w:pPr>
            <w:r>
              <w:rPr>
                <w:rFonts w:ascii="Aptos" w:hAnsi="Aptos"/>
                <w:b w:val="0"/>
                <w:i w:val="0"/>
                <w:sz w:val="18"/>
              </w:rPr>
              <w:t>Très bien pour le projet, les recherches et les livrables; moins adapte si le code n'est accessible que sur votre ordinateur.</w:t>
            </w:r>
          </w:p>
        </w:tc>
      </w:tr>
    </w:tbl>
    <w:p>
      <w:pPr>
        <w:spacing w:after="40"/>
      </w:pPr>
    </w:p>
    <w:p>
      <w:pPr>
        <w:spacing w:after="120" w:line="264" w:lineRule="auto"/>
      </w:pPr>
      <w:r>
        <w:rPr>
          <w:rFonts w:ascii="Aptos" w:hAnsi="Aptos"/>
          <w:b w:val="0"/>
          <w:i w:val="0"/>
          <w:sz w:val="22"/>
        </w:rPr>
        <w:t>Regle simple : le Projet conserve le contexte; le mode indique le type de travail; desktop ou web indique l'endroit depuis lequel vous travaillez. Les recommandations officielles indiquent d'utiliser un projet lorsque le travail se poursuit dans le temps et dépend des mêmes fichiers, Work pour un résultat substantiel, et Codex pour le développement avec le contexte du code. [8][9]</w:t>
      </w:r>
    </w:p>
    <w:p>
      <w:pPr>
        <w:pStyle w:val="Heading1"/>
        <w:keepNext/>
      </w:pPr>
      <w:r>
        <w:t>6. Comment utiliser Codex pour Natura</w:t>
      </w:r>
    </w:p>
    <w:p>
      <w:pPr>
        <w:pStyle w:val="Heading2"/>
        <w:keepNext/>
      </w:pPr>
      <w:r>
        <w:t>6.1. Mise en place initiale</w:t>
      </w:r>
    </w:p>
    <w:tbl>
      <w:tblPr>
        <w:tblStyle w:val="TableGrid"/>
        <w:tblW w:type="dxa" w:w="9360"/>
        <w:jc w:val="left"/>
        <w:tblLayout w:type="fixed"/>
        <w:tblLook w:firstColumn="1" w:firstRow="1" w:lastColumn="0" w:lastRow="0" w:noHBand="0" w:noVBand="1" w:val="04A0"/>
        <w:tblInd w:w="120" w:type="dxa"/>
      </w:tblPr>
      <w:tblGrid>
        <w:gridCol w:w="900"/>
        <w:gridCol w:w="8460"/>
      </w:tblGrid>
      <w:tr>
        <w:trPr>
          <w:tblHeader w:val="true"/>
        </w:trPr>
        <w:tc>
          <w:tcPr>
            <w:tcW w:type="dxa" w:w="900"/>
            <w:tcMar>
              <w:top w:w="90" w:type="dxa"/>
              <w:start w:w="120" w:type="dxa"/>
              <w:bottom w:w="90" w:type="dxa"/>
              <w:end w:w="120" w:type="dxa"/>
            </w:tcMar>
            <w:vAlign w:val="center"/>
            <w:shd w:fill="2E6B4F"/>
          </w:tcPr>
          <w:p>
            <w:pPr>
              <w:spacing w:after="0"/>
              <w:jc w:val="left"/>
            </w:pPr>
            <w:r>
              <w:rPr>
                <w:rFonts w:ascii="Aptos" w:hAnsi="Aptos"/>
                <w:b/>
                <w:i w:val="0"/>
                <w:color w:val="FFFFFF"/>
                <w:sz w:val="19"/>
              </w:rPr>
              <w:t>Étape</w:t>
            </w:r>
          </w:p>
        </w:tc>
        <w:tc>
          <w:tcPr>
            <w:tcW w:type="dxa" w:w="8460"/>
            <w:tcMar>
              <w:top w:w="90" w:type="dxa"/>
              <w:start w:w="120" w:type="dxa"/>
              <w:bottom w:w="90" w:type="dxa"/>
              <w:end w:w="120" w:type="dxa"/>
            </w:tcMar>
            <w:vAlign w:val="center"/>
            <w:shd w:fill="2E6B4F"/>
          </w:tcPr>
          <w:p>
            <w:pPr>
              <w:spacing w:after="0"/>
              <w:jc w:val="left"/>
            </w:pPr>
            <w:r>
              <w:rPr>
                <w:rFonts w:ascii="Aptos" w:hAnsi="Aptos"/>
                <w:b/>
                <w:i w:val="0"/>
                <w:color w:val="FFFFFF"/>
                <w:sz w:val="19"/>
              </w:rPr>
              <w:t>Action</w:t>
            </w:r>
          </w:p>
        </w:tc>
      </w:tr>
      <w:tr>
        <w:trPr>
          <w:cantSplit/>
        </w:trPr>
        <w:tc>
          <w:tcPr>
            <w:tcW w:type="dxa" w:w="900"/>
          </w:tcPr>
          <w:p>
            <w:pPr>
              <w:spacing w:after="0" w:line="252" w:lineRule="auto"/>
            </w:pPr>
            <w:r>
              <w:rPr>
                <w:rFonts w:ascii="Aptos" w:hAnsi="Aptos"/>
                <w:b w:val="0"/>
                <w:i w:val="0"/>
                <w:sz w:val="19"/>
              </w:rPr>
              <w:t>1</w:t>
            </w:r>
          </w:p>
        </w:tc>
        <w:tc>
          <w:tcPr>
            <w:tcW w:type="dxa" w:w="8460"/>
          </w:tcPr>
          <w:p>
            <w:pPr>
              <w:spacing w:after="0" w:line="252" w:lineRule="auto"/>
            </w:pPr>
            <w:r>
              <w:rPr>
                <w:rFonts w:ascii="Aptos" w:hAnsi="Aptos"/>
                <w:b w:val="0"/>
                <w:i w:val="0"/>
                <w:sz w:val="19"/>
              </w:rPr>
              <w:t>Placer le projet Natura dans un dépôt Git propre et créer une sauvegarde ou une branche avant la migration.</w:t>
            </w:r>
          </w:p>
        </w:tc>
      </w:tr>
      <w:tr>
        <w:trPr>
          <w:cantSplit/>
        </w:trPr>
        <w:tc>
          <w:tcPr>
            <w:tcW w:type="dxa" w:w="900"/>
            <w:shd w:fill="F5F7F6"/>
          </w:tcPr>
          <w:p>
            <w:pPr>
              <w:spacing w:after="0" w:line="252" w:lineRule="auto"/>
            </w:pPr>
            <w:r>
              <w:rPr>
                <w:rFonts w:ascii="Aptos" w:hAnsi="Aptos"/>
                <w:b w:val="0"/>
                <w:i w:val="0"/>
                <w:sz w:val="19"/>
              </w:rPr>
              <w:t>2</w:t>
            </w:r>
          </w:p>
        </w:tc>
        <w:tc>
          <w:tcPr>
            <w:tcW w:type="dxa" w:w="8460"/>
            <w:shd w:fill="F5F7F6"/>
          </w:tcPr>
          <w:p>
            <w:pPr>
              <w:spacing w:after="0" w:line="252" w:lineRule="auto"/>
            </w:pPr>
            <w:r>
              <w:rPr>
                <w:rFonts w:ascii="Aptos" w:hAnsi="Aptos"/>
                <w:b w:val="0"/>
                <w:i w:val="0"/>
                <w:sz w:val="19"/>
              </w:rPr>
              <w:t>Dans l'application desktop, ouvrir le dossier local comme projet, puis choisir Codex. Dans un IDE, ouvrir le même dossier; en ligne de commande, lancer Codex depuis la racine du dépôt.</w:t>
            </w:r>
          </w:p>
        </w:tc>
      </w:tr>
      <w:tr>
        <w:trPr>
          <w:cantSplit/>
        </w:trPr>
        <w:tc>
          <w:tcPr>
            <w:tcW w:type="dxa" w:w="900"/>
          </w:tcPr>
          <w:p>
            <w:pPr>
              <w:spacing w:after="0" w:line="252" w:lineRule="auto"/>
            </w:pPr>
            <w:r>
              <w:rPr>
                <w:rFonts w:ascii="Aptos" w:hAnsi="Aptos"/>
                <w:b w:val="0"/>
                <w:i w:val="0"/>
                <w:sz w:val="19"/>
              </w:rPr>
              <w:t>3</w:t>
            </w:r>
          </w:p>
        </w:tc>
        <w:tc>
          <w:tcPr>
            <w:tcW w:type="dxa" w:w="8460"/>
          </w:tcPr>
          <w:p>
            <w:pPr>
              <w:spacing w:after="0" w:line="252" w:lineRule="auto"/>
            </w:pPr>
            <w:r>
              <w:rPr>
                <w:rFonts w:ascii="Aptos" w:hAnsi="Aptos"/>
                <w:b w:val="0"/>
                <w:i w:val="0"/>
                <w:sz w:val="19"/>
              </w:rPr>
              <w:t>Créer un fichier AGENTS.md à la racine avec l'architecture, les commandes, les règles SEO, les contraintes de sécurité et la définition de « terminé ». Codex lit ces instructions de dépôt avant de travailler. [10]</w:t>
            </w:r>
          </w:p>
        </w:tc>
      </w:tr>
      <w:tr>
        <w:trPr>
          <w:cantSplit/>
        </w:trPr>
        <w:tc>
          <w:tcPr>
            <w:tcW w:type="dxa" w:w="900"/>
            <w:shd w:fill="F5F7F6"/>
          </w:tcPr>
          <w:p>
            <w:pPr>
              <w:spacing w:after="0" w:line="252" w:lineRule="auto"/>
            </w:pPr>
            <w:r>
              <w:rPr>
                <w:rFonts w:ascii="Aptos" w:hAnsi="Aptos"/>
                <w:b w:val="0"/>
                <w:i w:val="0"/>
                <w:sz w:val="19"/>
              </w:rPr>
              <w:t>4</w:t>
            </w:r>
          </w:p>
        </w:tc>
        <w:tc>
          <w:tcPr>
            <w:tcW w:type="dxa" w:w="8460"/>
            <w:shd w:fill="F5F7F6"/>
          </w:tcPr>
          <w:p>
            <w:pPr>
              <w:spacing w:after="0" w:line="252" w:lineRule="auto"/>
            </w:pPr>
            <w:r>
              <w:rPr>
                <w:rFonts w:ascii="Aptos" w:hAnsi="Aptos"/>
                <w:b w:val="0"/>
                <w:i w:val="0"/>
                <w:sz w:val="19"/>
              </w:rPr>
              <w:t>Conserver les clés Firebase dans des variables d'environnement ou un gestionnaire de secrets; ne jamais les mettre dans Git ni les coller inutilement dans une conversation.</w:t>
            </w:r>
          </w:p>
        </w:tc>
      </w:tr>
      <w:tr>
        <w:trPr>
          <w:cantSplit/>
        </w:trPr>
        <w:tc>
          <w:tcPr>
            <w:tcW w:type="dxa" w:w="900"/>
          </w:tcPr>
          <w:p>
            <w:pPr>
              <w:spacing w:after="0" w:line="252" w:lineRule="auto"/>
            </w:pPr>
            <w:r>
              <w:rPr>
                <w:rFonts w:ascii="Aptos" w:hAnsi="Aptos"/>
                <w:b w:val="0"/>
                <w:i w:val="0"/>
                <w:sz w:val="19"/>
              </w:rPr>
              <w:t>5</w:t>
            </w:r>
          </w:p>
        </w:tc>
        <w:tc>
          <w:tcPr>
            <w:tcW w:type="dxa" w:w="8460"/>
          </w:tcPr>
          <w:p>
            <w:pPr>
              <w:spacing w:after="0" w:line="252" w:lineRule="auto"/>
            </w:pPr>
            <w:r>
              <w:rPr>
                <w:rFonts w:ascii="Aptos" w:hAnsi="Aptos"/>
                <w:b w:val="0"/>
                <w:i w:val="0"/>
                <w:sz w:val="19"/>
              </w:rPr>
              <w:t>Utiliser un chat distinct pour chaque résultat cohérent : audit, migration Next.js, backend Firebase, SEO technique, outils interactifs, tests et déploiement.</w:t>
            </w:r>
          </w:p>
        </w:tc>
      </w:tr>
    </w:tbl>
    <w:p>
      <w:pPr>
        <w:spacing w:after="40"/>
      </w:pPr>
    </w:p>
    <w:p>
      <w:pPr>
        <w:pStyle w:val="Heading2"/>
        <w:keepNext/>
      </w:pPr>
      <w:r>
        <w:t>6.2. Contenu recommandé de AGENTS.md</w:t>
      </w:r>
    </w:p>
    <w:p>
      <w:pPr>
        <w:numPr>
          <w:ilvl w:val="0"/>
          <w:numId w:val="10"/>
        </w:numPr>
        <w:spacing w:after="80" w:line="264" w:lineRule="auto"/>
      </w:pPr>
      <w:r>
        <w:rPr>
          <w:rFonts w:ascii="Aptos" w:hAnsi="Aptos"/>
          <w:b w:val="0"/>
          <w:i w:val="0"/>
          <w:sz w:val="22"/>
        </w:rPr>
        <w:t>Stack : Next.js App Router, TypeScript strict, Tailwind CSS et Firebase.</w:t>
      </w:r>
    </w:p>
    <w:p>
      <w:pPr>
        <w:numPr>
          <w:ilvl w:val="0"/>
          <w:numId w:val="10"/>
        </w:numPr>
        <w:spacing w:after="80" w:line="264" w:lineRule="auto"/>
      </w:pPr>
      <w:r>
        <w:rPr>
          <w:rFonts w:ascii="Aptos" w:hAnsi="Aptos"/>
          <w:b w:val="0"/>
          <w:i w:val="0"/>
          <w:sz w:val="22"/>
        </w:rPr>
        <w:t>Rendu : Server Components par défaut; composants client seulement pour l'interactivite nécessaire.</w:t>
      </w:r>
    </w:p>
    <w:p>
      <w:pPr>
        <w:numPr>
          <w:ilvl w:val="0"/>
          <w:numId w:val="10"/>
        </w:numPr>
        <w:spacing w:after="80" w:line="264" w:lineRule="auto"/>
      </w:pPr>
      <w:r>
        <w:rPr>
          <w:rFonts w:ascii="Aptos" w:hAnsi="Aptos"/>
          <w:b w:val="0"/>
          <w:i w:val="0"/>
          <w:sz w:val="22"/>
        </w:rPr>
        <w:t>SEO : toute fiche publique a une URL, des metadonnées uniques, un canonical, un fil d'Ariane et des données structurées exactes.</w:t>
      </w:r>
    </w:p>
    <w:p>
      <w:pPr>
        <w:numPr>
          <w:ilvl w:val="0"/>
          <w:numId w:val="10"/>
        </w:numPr>
        <w:spacing w:after="80" w:line="264" w:lineRule="auto"/>
      </w:pPr>
      <w:r>
        <w:rPr>
          <w:rFonts w:ascii="Aptos" w:hAnsi="Aptos"/>
          <w:b w:val="0"/>
          <w:i w:val="0"/>
          <w:sz w:val="22"/>
        </w:rPr>
        <w:t>Performance : pas d'image non dimensionnée; JavaScript minimal; objectifs Core Web Vitals documentés.</w:t>
      </w:r>
    </w:p>
    <w:p>
      <w:pPr>
        <w:numPr>
          <w:ilvl w:val="0"/>
          <w:numId w:val="10"/>
        </w:numPr>
        <w:spacing w:after="80" w:line="264" w:lineRule="auto"/>
      </w:pPr>
      <w:r>
        <w:rPr>
          <w:rFonts w:ascii="Aptos" w:hAnsi="Aptos"/>
          <w:b w:val="0"/>
          <w:i w:val="0"/>
          <w:sz w:val="22"/>
        </w:rPr>
        <w:t>Qualité : exécuter lint, typecheck, tests et build après chaque lot important.</w:t>
      </w:r>
    </w:p>
    <w:p>
      <w:pPr>
        <w:numPr>
          <w:ilvl w:val="0"/>
          <w:numId w:val="10"/>
        </w:numPr>
        <w:spacing w:after="80" w:line="264" w:lineRule="auto"/>
      </w:pPr>
      <w:r>
        <w:rPr>
          <w:rFonts w:ascii="Aptos" w:hAnsi="Aptos"/>
          <w:b w:val="0"/>
          <w:i w:val="0"/>
          <w:sz w:val="22"/>
        </w:rPr>
        <w:t>Sécurité : aucune clé secrète côté client; règles Firestore/Storage; validation des entrées; administration noindex et protégée.</w:t>
      </w:r>
    </w:p>
    <w:p>
      <w:pPr>
        <w:numPr>
          <w:ilvl w:val="0"/>
          <w:numId w:val="10"/>
        </w:numPr>
        <w:spacing w:after="80" w:line="264" w:lineRule="auto"/>
      </w:pPr>
      <w:r>
        <w:rPr>
          <w:rFonts w:ascii="Aptos" w:hAnsi="Aptos"/>
          <w:b w:val="0"/>
          <w:i w:val="0"/>
          <w:sz w:val="22"/>
        </w:rPr>
        <w:t>Contenu : anglais naturel, pas de pages massivement dupliquées, pas d'avis fictifs et pas de promesse médicale.</w:t>
      </w:r>
    </w:p>
    <w:p>
      <w:pPr>
        <w:pStyle w:val="Heading2"/>
        <w:keepNext/>
      </w:pPr>
      <w:r>
        <w:t>6.3. Prompt professionnel à donner a Codex</w:t>
      </w:r>
    </w:p>
    <w:tbl>
      <w:tblPr>
        <w:tblW w:type="dxa" w:w="9360"/>
        <w:tblLayout w:type="fixed"/>
        <w:tblLook w:firstColumn="1" w:firstRow="1" w:lastColumn="0" w:lastRow="0" w:noHBand="0" w:noVBand="1" w:val="04A0"/>
        <w:tblInd w:w="0" w:type="dxa"/>
      </w:tblPr>
      <w:tblGrid>
        <w:gridCol w:w="9360"/>
      </w:tblGrid>
      <w:tr>
        <w:trPr>
          <w:cantSplit/>
        </w:trPr>
        <w:tc>
          <w:tcPr>
            <w:tcW w:type="dxa" w:w="9360"/>
            <w:tcMar>
              <w:top w:w="90" w:type="dxa"/>
              <w:start w:w="120" w:type="dxa"/>
              <w:bottom w:w="90" w:type="dxa"/>
              <w:end w:w="120" w:type="dxa"/>
            </w:tcMar>
            <w:vAlign w:val="center"/>
            <w:shd w:fill="F1F3F4"/>
          </w:tcPr>
          <w:p>
            <w:pPr>
              <w:spacing w:after="0"/>
            </w:pPr>
            <w:r>
              <w:rPr>
                <w:rFonts w:ascii="Consolas" w:hAnsi="Consolas"/>
                <w:b w:val="0"/>
                <w:i w:val="0"/>
                <w:sz w:val="18"/>
              </w:rPr>
              <w:t>Goal: audit the current Natura React 19 + TypeScript + Vite repository and produce a migration plan to Next.js App Router without changing files yet.</w:t>
              <w:br/>
              <w:br/>
              <w:t>Context: Natura targets an English-speaking global audience. The final navigation is Grow, Small-Space Gardening, Plant Care, Planting Calendar, Tools, Reviews, and Search. The target backend is Firebase App Hosting, Firestore, Storage, and administrator-only Authentication.</w:t>
              <w:br/>
              <w:br/>
              <w:t>Constraints: preserve the existing design and working features; every public content item must have an indexable URL; prefer static generation and caching; keep client JavaScript minimal; do not add dépendencies without justification; do not expose secrets.</w:t>
              <w:br/>
              <w:br/>
              <w:t>Done when: you provide (1) current architecture findings, (2) target directory tree, (3) migration steps ordered by risk, (4) files to create/change, (5) test and rollback plan, and (6) open questions. Stop before editing.</w:t>
            </w:r>
          </w:p>
        </w:tc>
      </w:tr>
    </w:tbl>
    <w:p/>
    <w:p>
      <w:pPr>
        <w:spacing w:after="120" w:line="264" w:lineRule="auto"/>
      </w:pPr>
      <w:r>
        <w:rPr>
          <w:rFonts w:ascii="Aptos" w:hAnsi="Aptos"/>
          <w:b w:val="0"/>
          <w:i w:val="0"/>
          <w:sz w:val="22"/>
        </w:rPr>
        <w:t>Ce prompt suit le schema recommandé par OpenAI : objectif, contexte, contraintes et critères de fin. Pour les tâches complexes, il est préférable de demander un plan avant l'implementation, puis de faire vérifier le diff, les tests et le build. [11]</w:t>
      </w:r>
    </w:p>
    <w:p>
      <w:pPr>
        <w:pStyle w:val="Heading1"/>
        <w:keepNext/>
      </w:pPr>
      <w:r>
        <w:t>7. Workflow de développement recommandé</w:t>
      </w:r>
    </w:p>
    <w:tbl>
      <w:tblPr>
        <w:tblStyle w:val="TableGrid"/>
        <w:tblW w:type="dxa" w:w="9360"/>
        <w:jc w:val="left"/>
        <w:tblLayout w:type="fixed"/>
        <w:tblLook w:firstColumn="1" w:firstRow="1" w:lastColumn="0" w:lastRow="0" w:noHBand="0" w:noVBand="1" w:val="04A0"/>
        <w:tblInd w:w="120" w:type="dxa"/>
      </w:tblPr>
      <w:tblGrid>
        <w:gridCol w:w="1450"/>
        <w:gridCol w:w="4740"/>
        <w:gridCol w:w="3170"/>
      </w:tblGrid>
      <w:tr>
        <w:trPr>
          <w:tblHeader w:val="true"/>
        </w:trPr>
        <w:tc>
          <w:tcPr>
            <w:tcW w:type="dxa" w:w="1450"/>
            <w:tcMar>
              <w:top w:w="90" w:type="dxa"/>
              <w:start w:w="120" w:type="dxa"/>
              <w:bottom w:w="90" w:type="dxa"/>
              <w:end w:w="120" w:type="dxa"/>
            </w:tcMar>
            <w:vAlign w:val="center"/>
            <w:shd w:fill="2E6B4F"/>
          </w:tcPr>
          <w:p>
            <w:pPr>
              <w:spacing w:after="0"/>
              <w:jc w:val="left"/>
            </w:pPr>
            <w:r>
              <w:rPr>
                <w:rFonts w:ascii="Aptos" w:hAnsi="Aptos"/>
                <w:b/>
                <w:i w:val="0"/>
                <w:color w:val="FFFFFF"/>
                <w:sz w:val="17"/>
              </w:rPr>
              <w:t>Phase</w:t>
            </w:r>
          </w:p>
        </w:tc>
        <w:tc>
          <w:tcPr>
            <w:tcW w:type="dxa" w:w="4740"/>
            <w:tcMar>
              <w:top w:w="90" w:type="dxa"/>
              <w:start w:w="120" w:type="dxa"/>
              <w:bottom w:w="90" w:type="dxa"/>
              <w:end w:w="120" w:type="dxa"/>
            </w:tcMar>
            <w:vAlign w:val="center"/>
            <w:shd w:fill="2E6B4F"/>
          </w:tcPr>
          <w:p>
            <w:pPr>
              <w:spacing w:after="0"/>
              <w:jc w:val="left"/>
            </w:pPr>
            <w:r>
              <w:rPr>
                <w:rFonts w:ascii="Aptos" w:hAnsi="Aptos"/>
                <w:b/>
                <w:i w:val="0"/>
                <w:color w:val="FFFFFF"/>
                <w:sz w:val="17"/>
              </w:rPr>
              <w:t>Travail</w:t>
            </w:r>
          </w:p>
        </w:tc>
        <w:tc>
          <w:tcPr>
            <w:tcW w:type="dxa" w:w="3170"/>
            <w:tcMar>
              <w:top w:w="90" w:type="dxa"/>
              <w:start w:w="120" w:type="dxa"/>
              <w:bottom w:w="90" w:type="dxa"/>
              <w:end w:w="120" w:type="dxa"/>
            </w:tcMar>
            <w:vAlign w:val="center"/>
            <w:shd w:fill="2E6B4F"/>
          </w:tcPr>
          <w:p>
            <w:pPr>
              <w:spacing w:after="0"/>
              <w:jc w:val="left"/>
            </w:pPr>
            <w:r>
              <w:rPr>
                <w:rFonts w:ascii="Aptos" w:hAnsi="Aptos"/>
                <w:b/>
                <w:i w:val="0"/>
                <w:color w:val="FFFFFF"/>
                <w:sz w:val="17"/>
              </w:rPr>
              <w:t>Condition de sortie</w:t>
            </w:r>
          </w:p>
        </w:tc>
      </w:tr>
      <w:tr>
        <w:trPr>
          <w:cantSplit/>
        </w:trPr>
        <w:tc>
          <w:tcPr>
            <w:tcW w:type="dxa" w:w="1450"/>
          </w:tcPr>
          <w:p>
            <w:pPr>
              <w:spacing w:after="0" w:line="252" w:lineRule="auto"/>
            </w:pPr>
            <w:r>
              <w:rPr>
                <w:rFonts w:ascii="Aptos" w:hAnsi="Aptos"/>
                <w:b w:val="0"/>
                <w:i w:val="0"/>
                <w:sz w:val="17"/>
              </w:rPr>
              <w:t>1. Audit</w:t>
            </w:r>
          </w:p>
        </w:tc>
        <w:tc>
          <w:tcPr>
            <w:tcW w:type="dxa" w:w="4740"/>
          </w:tcPr>
          <w:p>
            <w:pPr>
              <w:spacing w:after="0" w:line="252" w:lineRule="auto"/>
            </w:pPr>
            <w:r>
              <w:rPr>
                <w:rFonts w:ascii="Aptos" w:hAnsi="Aptos"/>
                <w:b w:val="0"/>
                <w:i w:val="0"/>
                <w:sz w:val="17"/>
              </w:rPr>
              <w:t>Inventorier le dépôt Vite, les pages, composants, données, dépendances et fonctionnalités a conserver.</w:t>
            </w:r>
          </w:p>
        </w:tc>
        <w:tc>
          <w:tcPr>
            <w:tcW w:type="dxa" w:w="3170"/>
          </w:tcPr>
          <w:p>
            <w:pPr>
              <w:spacing w:after="0" w:line="252" w:lineRule="auto"/>
            </w:pPr>
            <w:r>
              <w:rPr>
                <w:rFonts w:ascii="Aptos" w:hAnsi="Aptos"/>
                <w:b w:val="0"/>
                <w:i w:val="0"/>
                <w:sz w:val="17"/>
              </w:rPr>
              <w:t>Rapport d'audit sans modification.</w:t>
            </w:r>
          </w:p>
        </w:tc>
      </w:tr>
      <w:tr>
        <w:trPr>
          <w:cantSplit/>
        </w:trPr>
        <w:tc>
          <w:tcPr>
            <w:tcW w:type="dxa" w:w="1450"/>
            <w:shd w:fill="F5F7F6"/>
          </w:tcPr>
          <w:p>
            <w:pPr>
              <w:spacing w:after="0" w:line="252" w:lineRule="auto"/>
            </w:pPr>
            <w:r>
              <w:rPr>
                <w:rFonts w:ascii="Aptos" w:hAnsi="Aptos"/>
                <w:b w:val="0"/>
                <w:i w:val="0"/>
                <w:sz w:val="17"/>
              </w:rPr>
              <w:t>2. Fondation Next.js</w:t>
            </w:r>
          </w:p>
        </w:tc>
        <w:tc>
          <w:tcPr>
            <w:tcW w:type="dxa" w:w="4740"/>
            <w:shd w:fill="F5F7F6"/>
          </w:tcPr>
          <w:p>
            <w:pPr>
              <w:spacing w:after="0" w:line="252" w:lineRule="auto"/>
            </w:pPr>
            <w:r>
              <w:rPr>
                <w:rFonts w:ascii="Aptos" w:hAnsi="Aptos"/>
                <w:b w:val="0"/>
                <w:i w:val="0"/>
                <w:sz w:val="17"/>
              </w:rPr>
              <w:t>Créer App Router, layout, design system, menu, routes et premières pages statiques.</w:t>
            </w:r>
          </w:p>
        </w:tc>
        <w:tc>
          <w:tcPr>
            <w:tcW w:type="dxa" w:w="3170"/>
            <w:shd w:fill="F5F7F6"/>
          </w:tcPr>
          <w:p>
            <w:pPr>
              <w:spacing w:after="0" w:line="252" w:lineRule="auto"/>
            </w:pPr>
            <w:r>
              <w:rPr>
                <w:rFonts w:ascii="Aptos" w:hAnsi="Aptos"/>
                <w:b w:val="0"/>
                <w:i w:val="0"/>
                <w:sz w:val="17"/>
              </w:rPr>
              <w:t>Build Next.js fonctionnel.</w:t>
            </w:r>
          </w:p>
        </w:tc>
      </w:tr>
      <w:tr>
        <w:trPr>
          <w:cantSplit/>
        </w:trPr>
        <w:tc>
          <w:tcPr>
            <w:tcW w:type="dxa" w:w="1450"/>
          </w:tcPr>
          <w:p>
            <w:pPr>
              <w:spacing w:after="0" w:line="252" w:lineRule="auto"/>
            </w:pPr>
            <w:r>
              <w:rPr>
                <w:rFonts w:ascii="Aptos" w:hAnsi="Aptos"/>
                <w:b w:val="0"/>
                <w:i w:val="0"/>
                <w:sz w:val="17"/>
              </w:rPr>
              <w:t>3. Migration fonctionnelle</w:t>
            </w:r>
          </w:p>
        </w:tc>
        <w:tc>
          <w:tcPr>
            <w:tcW w:type="dxa" w:w="4740"/>
          </w:tcPr>
          <w:p>
            <w:pPr>
              <w:spacing w:after="0" w:line="252" w:lineRule="auto"/>
            </w:pPr>
            <w:r>
              <w:rPr>
                <w:rFonts w:ascii="Aptos" w:hAnsi="Aptos"/>
                <w:b w:val="0"/>
                <w:i w:val="0"/>
                <w:sz w:val="17"/>
              </w:rPr>
              <w:t>Migrer encyclopedie, filtres, minuteur, liste de courses et persistance locale.</w:t>
            </w:r>
          </w:p>
        </w:tc>
        <w:tc>
          <w:tcPr>
            <w:tcW w:type="dxa" w:w="3170"/>
          </w:tcPr>
          <w:p>
            <w:pPr>
              <w:spacing w:after="0" w:line="252" w:lineRule="auto"/>
            </w:pPr>
            <w:r>
              <w:rPr>
                <w:rFonts w:ascii="Aptos" w:hAnsi="Aptos"/>
                <w:b w:val="0"/>
                <w:i w:val="0"/>
                <w:sz w:val="17"/>
              </w:rPr>
              <w:t>Parité fonctionnelle vérifiée.</w:t>
            </w:r>
          </w:p>
        </w:tc>
      </w:tr>
      <w:tr>
        <w:trPr>
          <w:cantSplit/>
        </w:trPr>
        <w:tc>
          <w:tcPr>
            <w:tcW w:type="dxa" w:w="1450"/>
            <w:shd w:fill="F5F7F6"/>
          </w:tcPr>
          <w:p>
            <w:pPr>
              <w:spacing w:after="0" w:line="252" w:lineRule="auto"/>
            </w:pPr>
            <w:r>
              <w:rPr>
                <w:rFonts w:ascii="Aptos" w:hAnsi="Aptos"/>
                <w:b w:val="0"/>
                <w:i w:val="0"/>
                <w:sz w:val="17"/>
              </w:rPr>
              <w:t>4. Backend Firebase</w:t>
            </w:r>
          </w:p>
        </w:tc>
        <w:tc>
          <w:tcPr>
            <w:tcW w:type="dxa" w:w="4740"/>
            <w:shd w:fill="F5F7F6"/>
          </w:tcPr>
          <w:p>
            <w:pPr>
              <w:spacing w:after="0" w:line="252" w:lineRule="auto"/>
            </w:pPr>
            <w:r>
              <w:rPr>
                <w:rFonts w:ascii="Aptos" w:hAnsi="Aptos"/>
                <w:b w:val="0"/>
                <w:i w:val="0"/>
                <w:sz w:val="17"/>
              </w:rPr>
              <w:t>Schéma Firestore, Storage, Auth administrateur, règles et interface éditoriale.</w:t>
            </w:r>
          </w:p>
        </w:tc>
        <w:tc>
          <w:tcPr>
            <w:tcW w:type="dxa" w:w="3170"/>
            <w:shd w:fill="F5F7F6"/>
          </w:tcPr>
          <w:p>
            <w:pPr>
              <w:spacing w:after="0" w:line="252" w:lineRule="auto"/>
            </w:pPr>
            <w:r>
              <w:rPr>
                <w:rFonts w:ascii="Aptos" w:hAnsi="Aptos"/>
                <w:b w:val="0"/>
                <w:i w:val="0"/>
                <w:sz w:val="17"/>
              </w:rPr>
              <w:t>CRUD sécurisé et contenu publiable.</w:t>
            </w:r>
          </w:p>
        </w:tc>
      </w:tr>
      <w:tr>
        <w:trPr>
          <w:cantSplit/>
        </w:trPr>
        <w:tc>
          <w:tcPr>
            <w:tcW w:type="dxa" w:w="1450"/>
          </w:tcPr>
          <w:p>
            <w:pPr>
              <w:spacing w:after="0" w:line="252" w:lineRule="auto"/>
            </w:pPr>
            <w:r>
              <w:rPr>
                <w:rFonts w:ascii="Aptos" w:hAnsi="Aptos"/>
                <w:b w:val="0"/>
                <w:i w:val="0"/>
                <w:sz w:val="17"/>
              </w:rPr>
              <w:t>5. SEO</w:t>
            </w:r>
          </w:p>
        </w:tc>
        <w:tc>
          <w:tcPr>
            <w:tcW w:type="dxa" w:w="4740"/>
          </w:tcPr>
          <w:p>
            <w:pPr>
              <w:spacing w:after="0" w:line="252" w:lineRule="auto"/>
            </w:pPr>
            <w:r>
              <w:rPr>
                <w:rFonts w:ascii="Aptos" w:hAnsi="Aptos"/>
                <w:b w:val="0"/>
                <w:i w:val="0"/>
                <w:sz w:val="17"/>
              </w:rPr>
              <w:t>Metadonnées, sitemap, robots, JSON-LD, maillage, performance et Search Console.</w:t>
            </w:r>
          </w:p>
        </w:tc>
        <w:tc>
          <w:tcPr>
            <w:tcW w:type="dxa" w:w="3170"/>
          </w:tcPr>
          <w:p>
            <w:pPr>
              <w:spacing w:after="0" w:line="252" w:lineRule="auto"/>
            </w:pPr>
            <w:r>
              <w:rPr>
                <w:rFonts w:ascii="Aptos" w:hAnsi="Aptos"/>
                <w:b w:val="0"/>
                <w:i w:val="0"/>
                <w:sz w:val="17"/>
              </w:rPr>
              <w:t>Audit technique sans erreur critique.</w:t>
            </w:r>
          </w:p>
        </w:tc>
      </w:tr>
      <w:tr>
        <w:trPr>
          <w:cantSplit/>
        </w:trPr>
        <w:tc>
          <w:tcPr>
            <w:tcW w:type="dxa" w:w="1450"/>
            <w:shd w:fill="F5F7F6"/>
          </w:tcPr>
          <w:p>
            <w:pPr>
              <w:spacing w:after="0" w:line="252" w:lineRule="auto"/>
            </w:pPr>
            <w:r>
              <w:rPr>
                <w:rFonts w:ascii="Aptos" w:hAnsi="Aptos"/>
                <w:b w:val="0"/>
                <w:i w:val="0"/>
                <w:sz w:val="17"/>
              </w:rPr>
              <w:t>6. Ads et mesure</w:t>
            </w:r>
          </w:p>
        </w:tc>
        <w:tc>
          <w:tcPr>
            <w:tcW w:type="dxa" w:w="4740"/>
            <w:shd w:fill="F5F7F6"/>
          </w:tcPr>
          <w:p>
            <w:pPr>
              <w:spacing w:after="0" w:line="252" w:lineRule="auto"/>
            </w:pPr>
            <w:r>
              <w:rPr>
                <w:rFonts w:ascii="Aptos" w:hAnsi="Aptos"/>
                <w:b w:val="0"/>
                <w:i w:val="0"/>
                <w:sz w:val="17"/>
              </w:rPr>
              <w:t>Consentement, GA4, Tag Manager, conversions et pages d'atterrissage.</w:t>
            </w:r>
          </w:p>
        </w:tc>
        <w:tc>
          <w:tcPr>
            <w:tcW w:type="dxa" w:w="3170"/>
            <w:shd w:fill="F5F7F6"/>
          </w:tcPr>
          <w:p>
            <w:pPr>
              <w:spacing w:after="0" w:line="252" w:lineRule="auto"/>
            </w:pPr>
            <w:r>
              <w:rPr>
                <w:rFonts w:ascii="Aptos" w:hAnsi="Aptos"/>
                <w:b w:val="0"/>
                <w:i w:val="0"/>
                <w:sz w:val="17"/>
              </w:rPr>
              <w:t>Conversions testées avant dépense.</w:t>
            </w:r>
          </w:p>
        </w:tc>
      </w:tr>
      <w:tr>
        <w:trPr>
          <w:cantSplit/>
        </w:trPr>
        <w:tc>
          <w:tcPr>
            <w:tcW w:type="dxa" w:w="1450"/>
          </w:tcPr>
          <w:p>
            <w:pPr>
              <w:spacing w:after="0" w:line="252" w:lineRule="auto"/>
            </w:pPr>
            <w:r>
              <w:rPr>
                <w:rFonts w:ascii="Aptos" w:hAnsi="Aptos"/>
                <w:b w:val="0"/>
                <w:i w:val="0"/>
                <w:sz w:val="17"/>
              </w:rPr>
              <w:t>7. Déploiement</w:t>
            </w:r>
          </w:p>
        </w:tc>
        <w:tc>
          <w:tcPr>
            <w:tcW w:type="dxa" w:w="4740"/>
          </w:tcPr>
          <w:p>
            <w:pPr>
              <w:spacing w:after="0" w:line="252" w:lineRule="auto"/>
            </w:pPr>
            <w:r>
              <w:rPr>
                <w:rFonts w:ascii="Aptos" w:hAnsi="Aptos"/>
                <w:b w:val="0"/>
                <w:i w:val="0"/>
                <w:sz w:val="17"/>
              </w:rPr>
              <w:t>Environnements preview/production, domaine, alertes de coût, sauvegardes et monitoring.</w:t>
            </w:r>
          </w:p>
        </w:tc>
        <w:tc>
          <w:tcPr>
            <w:tcW w:type="dxa" w:w="3170"/>
          </w:tcPr>
          <w:p>
            <w:pPr>
              <w:spacing w:after="0" w:line="252" w:lineRule="auto"/>
            </w:pPr>
            <w:r>
              <w:rPr>
                <w:rFonts w:ascii="Aptos" w:hAnsi="Aptos"/>
                <w:b w:val="0"/>
                <w:i w:val="0"/>
                <w:sz w:val="17"/>
              </w:rPr>
              <w:t>Publication avec plan de retour arrière.</w:t>
            </w:r>
          </w:p>
        </w:tc>
      </w:tr>
    </w:tbl>
    <w:p>
      <w:pPr>
        <w:spacing w:after="40"/>
      </w:pPr>
    </w:p>
    <w:p>
      <w:r>
        <w:br w:type="page"/>
      </w:r>
    </w:p>
    <w:p>
      <w:pPr>
        <w:pStyle w:val="Heading1"/>
        <w:keepNext/>
      </w:pPr>
      <w:r>
        <w:t>8. Décisions finales</w:t>
      </w:r>
    </w:p>
    <w:p>
      <w:pPr>
        <w:numPr>
          <w:ilvl w:val="0"/>
          <w:numId w:val="10"/>
        </w:numPr>
        <w:spacing w:after="80" w:line="264" w:lineRule="auto"/>
      </w:pPr>
      <w:r>
        <w:rPr>
          <w:rFonts w:ascii="Aptos" w:hAnsi="Aptos"/>
          <w:b w:val="0"/>
          <w:i w:val="0"/>
          <w:sz w:val="22"/>
        </w:rPr>
        <w:t>Conserver le menu : Grow | Small-Space Gardening | Plant Care | Planting Calendar | Tools | Reviews | Search.</w:t>
      </w:r>
    </w:p>
    <w:p>
      <w:pPr>
        <w:numPr>
          <w:ilvl w:val="0"/>
          <w:numId w:val="10"/>
        </w:numPr>
        <w:spacing w:after="80" w:line="264" w:lineRule="auto"/>
      </w:pPr>
      <w:r>
        <w:rPr>
          <w:rFonts w:ascii="Aptos" w:hAnsi="Aptos"/>
          <w:b w:val="0"/>
          <w:i w:val="0"/>
          <w:sz w:val="22"/>
        </w:rPr>
        <w:t>Utiliser Firebase App Hosting avec le forfait Blaze, mais lancer avec cache, pages pré-générées et alertes de coût.</w:t>
      </w:r>
    </w:p>
    <w:p>
      <w:pPr>
        <w:numPr>
          <w:ilvl w:val="0"/>
          <w:numId w:val="10"/>
        </w:numPr>
        <w:spacing w:after="80" w:line="264" w:lineRule="auto"/>
      </w:pPr>
      <w:r>
        <w:rPr>
          <w:rFonts w:ascii="Aptos" w:hAnsi="Aptos"/>
          <w:b w:val="0"/>
          <w:i w:val="0"/>
          <w:sz w:val="22"/>
        </w:rPr>
        <w:t>Construire le SEO dans l'architecture dès la migration Next.js; ne jamais promettre un classement garanti.</w:t>
      </w:r>
    </w:p>
    <w:p>
      <w:pPr>
        <w:numPr>
          <w:ilvl w:val="0"/>
          <w:numId w:val="10"/>
        </w:numPr>
        <w:spacing w:after="80" w:line="264" w:lineRule="auto"/>
      </w:pPr>
      <w:r>
        <w:rPr>
          <w:rFonts w:ascii="Aptos" w:hAnsi="Aptos"/>
          <w:b w:val="0"/>
          <w:i w:val="0"/>
          <w:sz w:val="22"/>
        </w:rPr>
        <w:t>Préparer Google Ads et AdSense techniquement, mais ne lancer une campagne payante qu'après mesure correcte des conversions.</w:t>
      </w:r>
    </w:p>
    <w:p>
      <w:pPr>
        <w:numPr>
          <w:ilvl w:val="0"/>
          <w:numId w:val="10"/>
        </w:numPr>
        <w:spacing w:after="80" w:line="264" w:lineRule="auto"/>
      </w:pPr>
      <w:r>
        <w:rPr>
          <w:rFonts w:ascii="Aptos" w:hAnsi="Aptos"/>
          <w:b w:val="0"/>
          <w:i w:val="0"/>
          <w:sz w:val="22"/>
        </w:rPr>
        <w:t>Travailler dans l'application desktop, au sein du Projet Natura; Work pour les livrables, Codex pour le code, Chat pour les questions courtes.</w:t>
      </w:r>
    </w:p>
    <w:p>
      <w:pPr>
        <w:numPr>
          <w:ilvl w:val="0"/>
          <w:numId w:val="10"/>
        </w:numPr>
        <w:spacing w:after="80" w:line="264" w:lineRule="auto"/>
      </w:pPr>
      <w:r>
        <w:rPr>
          <w:rFonts w:ascii="Aptos" w:hAnsi="Aptos"/>
          <w:b w:val="0"/>
          <w:i w:val="0"/>
          <w:sz w:val="22"/>
        </w:rPr>
        <w:t>Commencer avec Codex par un audit sans modification, puis valider le plan avant la migration.</w:t>
      </w:r>
    </w:p>
    <w:p>
      <w:r>
        <w:br w:type="page"/>
      </w:r>
    </w:p>
    <w:p>
      <w:pPr>
        <w:pStyle w:val="Heading1"/>
        <w:keepNext/>
      </w:pPr>
      <w:r>
        <w:t>Sources officielles</w:t>
      </w:r>
    </w:p>
    <w:p>
      <w:pPr>
        <w:spacing w:after="80"/>
      </w:pPr>
      <w:hyperlink r:id="rId11">
        <w:r>
          <w:rPr>
            <w:rFonts w:ascii="Aptos" w:hAnsi="Aptos"/>
            <w:color w:val="2E6B4F"/>
            <w:u w:val="single"/>
          </w:rPr>
          <w:t>[1] Firebase - Understand App Hosting costs</w:t>
        </w:r>
      </w:hyperlink>
    </w:p>
    <w:p>
      <w:pPr>
        <w:spacing w:after="80"/>
      </w:pPr>
      <w:hyperlink r:id="rId12">
        <w:r>
          <w:rPr>
            <w:rFonts w:ascii="Aptos" w:hAnsi="Aptos"/>
            <w:color w:val="2E6B4F"/>
            <w:u w:val="single"/>
          </w:rPr>
          <w:t>[2] Firebase - Pricing</w:t>
        </w:r>
      </w:hyperlink>
    </w:p>
    <w:p>
      <w:pPr>
        <w:spacing w:after="80"/>
      </w:pPr>
      <w:hyperlink r:id="rId13">
        <w:r>
          <w:rPr>
            <w:rFonts w:ascii="Aptos" w:hAnsi="Aptos"/>
            <w:color w:val="2E6B4F"/>
            <w:u w:val="single"/>
          </w:rPr>
          <w:t>[3] Firebase - Avoid surprise bills</w:t>
        </w:r>
      </w:hyperlink>
    </w:p>
    <w:p>
      <w:pPr>
        <w:spacing w:after="80"/>
      </w:pPr>
      <w:hyperlink r:id="rId14">
        <w:r>
          <w:rPr>
            <w:rFonts w:ascii="Aptos" w:hAnsi="Aptos"/>
            <w:color w:val="2E6B4F"/>
            <w:u w:val="single"/>
          </w:rPr>
          <w:t>[4] Google Search Central - SEO Starter Guide</w:t>
        </w:r>
      </w:hyperlink>
    </w:p>
    <w:p>
      <w:pPr>
        <w:spacing w:after="80"/>
      </w:pPr>
      <w:hyperlink r:id="rId15">
        <w:r>
          <w:rPr>
            <w:rFonts w:ascii="Aptos" w:hAnsi="Aptos"/>
            <w:color w:val="2E6B4F"/>
            <w:u w:val="single"/>
          </w:rPr>
          <w:t>[5] Google Search Central - Core Web Vitals</w:t>
        </w:r>
      </w:hyperlink>
    </w:p>
    <w:p>
      <w:pPr>
        <w:spacing w:after="80"/>
      </w:pPr>
      <w:hyperlink r:id="rId16">
        <w:r>
          <w:rPr>
            <w:rFonts w:ascii="Aptos" w:hAnsi="Aptos"/>
            <w:color w:val="2E6B4F"/>
            <w:u w:val="single"/>
          </w:rPr>
          <w:t>[6] Google Ads Help - Optimize ads and landing pages</w:t>
        </w:r>
      </w:hyperlink>
    </w:p>
    <w:p>
      <w:pPr>
        <w:spacing w:after="80"/>
      </w:pPr>
      <w:hyperlink r:id="rId17">
        <w:r>
          <w:rPr>
            <w:rFonts w:ascii="Aptos" w:hAnsi="Aptos"/>
            <w:color w:val="2E6B4F"/>
            <w:u w:val="single"/>
          </w:rPr>
          <w:t>[7] Google Ads Help - Google Ads policies and destination requirements</w:t>
        </w:r>
      </w:hyperlink>
    </w:p>
    <w:p>
      <w:pPr>
        <w:spacing w:after="80"/>
      </w:pPr>
      <w:hyperlink r:id="rId18">
        <w:r>
          <w:rPr>
            <w:rFonts w:ascii="Aptos" w:hAnsi="Aptos"/>
            <w:color w:val="2E6B4F"/>
            <w:u w:val="single"/>
          </w:rPr>
          <w:t>[8] OpenAI - Projects and chats</w:t>
        </w:r>
      </w:hyperlink>
    </w:p>
    <w:p>
      <w:pPr>
        <w:spacing w:after="80"/>
      </w:pPr>
      <w:hyperlink r:id="rId19">
        <w:r>
          <w:rPr>
            <w:rFonts w:ascii="Aptos" w:hAnsi="Aptos"/>
            <w:color w:val="2E6B4F"/>
            <w:u w:val="single"/>
          </w:rPr>
          <w:t>[9] OpenAI - Get started with ChatGPT Work</w:t>
        </w:r>
      </w:hyperlink>
    </w:p>
    <w:p>
      <w:pPr>
        <w:spacing w:after="80"/>
      </w:pPr>
      <w:hyperlink r:id="rId20">
        <w:r>
          <w:rPr>
            <w:rFonts w:ascii="Aptos" w:hAnsi="Aptos"/>
            <w:color w:val="2E6B4F"/>
            <w:u w:val="single"/>
          </w:rPr>
          <w:t>[10] OpenAI - Custom instructions with AGENTS.md</w:t>
        </w:r>
      </w:hyperlink>
    </w:p>
    <w:p>
      <w:pPr>
        <w:spacing w:after="80"/>
      </w:pPr>
      <w:hyperlink r:id="rId21">
        <w:r>
          <w:rPr>
            <w:rFonts w:ascii="Aptos" w:hAnsi="Aptos"/>
            <w:color w:val="2E6B4F"/>
            <w:u w:val="single"/>
          </w:rPr>
          <w:t>[11] OpenAI - Codex best practices</w:t>
        </w:r>
      </w:hyperlink>
    </w:p>
    <w:p>
      <w:pPr>
        <w:spacing w:after="0" w:line="264" w:lineRule="auto"/>
      </w:pPr>
      <w:r>
        <w:rPr>
          <w:rFonts w:ascii="Aptos" w:hAnsi="Aptos"/>
          <w:b w:val="0"/>
          <w:i/>
          <w:color w:val="5E6E65"/>
          <w:sz w:val="22"/>
        </w:rPr>
        <w:t>Note : tarifs et fonctionnalités vérifiés le 2 aout 2026. Les prix officiels sont affichés en dollars américains et peuvent varier selon la région, la fiscalité et les services Google Cloud utilisés.</w:t>
      </w:r>
    </w:p>
    <w:sectPr w:rsidR="00FC693F" w:rsidRPr="0006063C" w:rsidSect="00034616">
      <w:headerReference w:type="default" r:id="rId9"/>
      <w:footerReference w:type="default" r:id="rId10"/>
      <w:pgSz w:w="12240" w:h="15840"/>
      <w:pgMar w:top="1181" w:right="1267" w:bottom="1123" w:left="126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b/>
        <w:i w:val="0"/>
        <w:color w:val="5E6E65"/>
        <w:sz w:val="17"/>
      </w:rPr>
      <w:t>NATURA  |  STRATEGIE DIGITALE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360"/>
        </w:tabs>
        <w:ind w:left="720" w:hanging="36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2E6B4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2E6B4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73A2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val="0"/>
      <w:color w:val="173A2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60"/>
    </w:pPr>
    <w:rPr>
      <w:rFonts w:asciiTheme="majorHAnsi" w:eastAsiaTheme="majorEastAsia" w:hAnsiTheme="majorHAnsi" w:cstheme="majorBidi" w:ascii="Aptos" w:hAnsi="Aptos"/>
      <w:b w:val="0"/>
      <w:i/>
      <w:iCs/>
      <w:color w:val="5E6E6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2"/>
    </w:rPr>
  </w:style>
  <w:style w:type="paragraph" w:styleId="ListBullet2">
    <w:name w:val="List Bullet 2"/>
    <w:basedOn w:val="Normal"/>
    <w:uiPriority w:val="99"/>
    <w:unhideWhenUsed/>
    <w:rsid w:val="00326F90"/>
    <w:pPr>
      <w:numPr>
        <w:numId w:val="2"/>
      </w:numPr>
      <w:contextualSpacing/>
    </w:pPr>
    <w:rPr>
      <w:rFonts w:ascii="Aptos" w:hAnsi="Aptos"/>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firebase.google.com/docs/app-hosting/costs" TargetMode="External"/><Relationship Id="rId12" Type="http://schemas.openxmlformats.org/officeDocument/2006/relationships/hyperlink" Target="https://firebase.google.com/pricing" TargetMode="External"/><Relationship Id="rId13" Type="http://schemas.openxmlformats.org/officeDocument/2006/relationships/hyperlink" Target="https://firebase.google.com/docs/projects/billing/avoid-surprise-bills" TargetMode="External"/><Relationship Id="rId14" Type="http://schemas.openxmlformats.org/officeDocument/2006/relationships/hyperlink" Target="https://developers.google.com/search/docs/fundamentals/seo-starter-guide" TargetMode="External"/><Relationship Id="rId15" Type="http://schemas.openxmlformats.org/officeDocument/2006/relationships/hyperlink" Target="https://developers.google.com/search/docs/appearance/core-web-vitals" TargetMode="External"/><Relationship Id="rId16" Type="http://schemas.openxmlformats.org/officeDocument/2006/relationships/hyperlink" Target="https://support.google.com/google-ads/answer/6238826?hl=en" TargetMode="External"/><Relationship Id="rId17" Type="http://schemas.openxmlformats.org/officeDocument/2006/relationships/hyperlink" Target="https://support.google.com/google-ads/answer/6008942?hl=en" TargetMode="External"/><Relationship Id="rId18" Type="http://schemas.openxmlformats.org/officeDocument/2006/relationships/hyperlink" Target="https://learn.chatgpt.com/docs/projects" TargetMode="External"/><Relationship Id="rId19" Type="http://schemas.openxmlformats.org/officeDocument/2006/relationships/hyperlink" Target="https://learn.chatgpt.com/docs/get-started-with-work" TargetMode="External"/><Relationship Id="rId20" Type="http://schemas.openxmlformats.org/officeDocument/2006/relationships/hyperlink" Target="https://learn.chatgpt.com/docs/agent-configuration/agents-md" TargetMode="External"/><Relationship Id="rId21" Type="http://schemas.openxmlformats.org/officeDocument/2006/relationships/hyperlink" Target="https://learn.chatgpt.com/guides/best-pract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Natura - Strategie Firebase, SEO, Google Ads, ChatGPT et Codex</dc:title>
  <dc:subject>Note de decision technique et marketing</dc:subject>
  <dc:creator>OpenAI - ChatGPT Work</dc:creator>
  <cp:keywords>Natura, Firebase, SEO, Google Ads, ChatGPT Work, Codex, Next.js</cp:keywords>
  <dc:description>generated by python-docx</dc:description>
  <cp:lastModifiedBy/>
  <cp:revision>1</cp:revision>
  <dcterms:created xsi:type="dcterms:W3CDTF">2013-12-23T23:15:00Z</dcterms:created>
  <dcterms:modified xsi:type="dcterms:W3CDTF">2013-12-23T23:15:00Z</dcterms:modified>
  <cp:category/>
</cp:coreProperties>
</file>