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23.png" ContentType="image/png"/>
  <Override PartName="/word/media/rId59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Ничипорова</w:t>
      </w:r>
      <w:r>
        <w:t xml:space="preserve"> </w:t>
      </w:r>
      <w:r>
        <w:t xml:space="preserve">Елена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Linux.Получить практические навыки рабо-ты с редактором Emacs.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Открывае emacs (рис. 1) (рис. 2)</w:t>
      </w:r>
    </w:p>
    <w:p>
      <w:pPr>
        <w:pStyle w:val="CaptionedFigure"/>
      </w:pPr>
      <w:bookmarkStart w:id="22" w:name="fig:001"/>
      <w:r>
        <w:drawing>
          <wp:inline>
            <wp:extent cx="3619500" cy="381000"/>
            <wp:effectExtent b="0" l="0" r="0" t="0"/>
            <wp:docPr descr="Рис. 1: Команда для открытия emacs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Команда для открытия emacs</w:t>
      </w:r>
    </w:p>
    <w:p>
      <w:pPr>
        <w:pStyle w:val="CaptionedFigure"/>
      </w:pPr>
      <w:bookmarkStart w:id="24" w:name="fig:002"/>
      <w:r>
        <w:drawing>
          <wp:inline>
            <wp:extent cx="5334000" cy="4964821"/>
            <wp:effectExtent b="0" l="0" r="0" t="0"/>
            <wp:docPr descr="Рис. 2: emacs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4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emacs</w:t>
      </w:r>
    </w:p>
    <w:p>
      <w:pPr>
        <w:numPr>
          <w:ilvl w:val="0"/>
          <w:numId w:val="1002"/>
        </w:numPr>
        <w:pStyle w:val="Compact"/>
      </w:pPr>
      <w:r>
        <w:t xml:space="preserve">Создаем файл lab07.sh с помощью комбинации ctrl-x ctri-f(рис. 3)</w:t>
      </w:r>
    </w:p>
    <w:p>
      <w:pPr>
        <w:pStyle w:val="CaptionedFigure"/>
      </w:pPr>
      <w:bookmarkStart w:id="26" w:name="fig:003"/>
      <w:r>
        <w:drawing>
          <wp:inline>
            <wp:extent cx="2946400" cy="1130300"/>
            <wp:effectExtent b="0" l="0" r="0" t="0"/>
            <wp:docPr descr="Рис. 3: Создание нового файл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Создание нового файла</w:t>
      </w:r>
    </w:p>
    <w:p>
      <w:pPr>
        <w:numPr>
          <w:ilvl w:val="0"/>
          <w:numId w:val="1003"/>
        </w:numPr>
        <w:pStyle w:val="Compact"/>
      </w:pPr>
      <w:r>
        <w:t xml:space="preserve">Набираем текст(рис. 4)</w:t>
      </w:r>
    </w:p>
    <w:p>
      <w:pPr>
        <w:pStyle w:val="CaptionedFigure"/>
      </w:pPr>
      <w:bookmarkStart w:id="28" w:name="fig:004"/>
      <w:r>
        <w:drawing>
          <wp:inline>
            <wp:extent cx="3657600" cy="2311400"/>
            <wp:effectExtent b="0" l="0" r="0" t="0"/>
            <wp:docPr descr="Рис. 4: Текст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Текст</w:t>
      </w:r>
    </w:p>
    <w:p>
      <w:pPr>
        <w:numPr>
          <w:ilvl w:val="0"/>
          <w:numId w:val="1004"/>
        </w:numPr>
      </w:pPr>
      <w:r>
        <w:t xml:space="preserve">Сохраняем файл с помощью комбинации ctri-x ctrl-s</w:t>
      </w:r>
    </w:p>
    <w:p>
      <w:pPr>
        <w:numPr>
          <w:ilvl w:val="0"/>
          <w:numId w:val="1004"/>
        </w:numPr>
      </w:pPr>
      <w:r>
        <w:t xml:space="preserve">Проделываем следующие манипуляции с текстом: вырезаем командой ctrl-k целую строку, вставляем эту строку в конец текста командой ctrl-y(рис. 5), выделяем область текста командой ctrl-spase(рис. 6), копируем в буфер обмена область с помощью команды alt-w, вставляем в конец текста(рис. 7), вновь выделяем эту область и вырезаем ее командой ctrl-w(рис. 8), отменяем последнее действие командой ctrl-/(рис. 9)</w:t>
      </w:r>
    </w:p>
    <w:p>
      <w:pPr>
        <w:pStyle w:val="CaptionedFigure"/>
      </w:pPr>
      <w:bookmarkStart w:id="30" w:name="fig:005"/>
      <w:r>
        <w:drawing>
          <wp:inline>
            <wp:extent cx="3632200" cy="2743200"/>
            <wp:effectExtent b="0" l="0" r="0" t="0"/>
            <wp:docPr descr="Рис. 5: Вставляем вырезанную строку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Вставляем вырезанную строку</w:t>
      </w:r>
    </w:p>
    <w:p>
      <w:pPr>
        <w:pStyle w:val="CaptionedFigure"/>
      </w:pPr>
      <w:bookmarkStart w:id="32" w:name="fig:006"/>
      <w:r>
        <w:drawing>
          <wp:inline>
            <wp:extent cx="2895600" cy="1358900"/>
            <wp:effectExtent b="0" l="0" r="0" t="0"/>
            <wp:docPr descr="Рис. 6: Выделяем область текст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Выделяем область текста</w:t>
      </w:r>
    </w:p>
    <w:p>
      <w:pPr>
        <w:pStyle w:val="CaptionedFigure"/>
      </w:pPr>
      <w:bookmarkStart w:id="34" w:name="fig:007"/>
      <w:r>
        <w:drawing>
          <wp:inline>
            <wp:extent cx="2832100" cy="2895600"/>
            <wp:effectExtent b="0" l="0" r="0" t="0"/>
            <wp:docPr descr="Рис. 7: Вставляем выделенную область в конец текст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Вставляем выделенную область в конец текста</w:t>
      </w:r>
    </w:p>
    <w:p>
      <w:pPr>
        <w:pStyle w:val="CaptionedFigure"/>
      </w:pPr>
      <w:bookmarkStart w:id="36" w:name="fig:008"/>
      <w:r>
        <w:drawing>
          <wp:inline>
            <wp:extent cx="3200400" cy="2730500"/>
            <wp:effectExtent b="0" l="0" r="0" t="0"/>
            <wp:docPr descr="Рис. 8: Вырезаем выделенную область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Вырезаем выделенную область</w:t>
      </w:r>
    </w:p>
    <w:p>
      <w:pPr>
        <w:pStyle w:val="CaptionedFigure"/>
      </w:pPr>
      <w:bookmarkStart w:id="38" w:name="fig:009"/>
      <w:r>
        <w:drawing>
          <wp:inline>
            <wp:extent cx="3086100" cy="2946400"/>
            <wp:effectExtent b="0" l="0" r="0" t="0"/>
            <wp:docPr descr="Рис. 9: Отменяем последнее действие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9: Отменяем последнее действие</w:t>
      </w:r>
    </w:p>
    <w:p>
      <w:pPr>
        <w:numPr>
          <w:ilvl w:val="0"/>
          <w:numId w:val="1005"/>
        </w:numPr>
        <w:pStyle w:val="Compact"/>
      </w:pPr>
      <w:r>
        <w:t xml:space="preserve">Учимся использовать команды по перемещению курсора: переместили в начало строки командой ctrl-a(рис. 10), в конец строки командой ctrl-e(рис. 11), в начало буфера командой alt-&lt;(рис. 12), в конец буфера командой ait-&gt;(рис. 13)</w:t>
      </w:r>
    </w:p>
    <w:p>
      <w:pPr>
        <w:pStyle w:val="CaptionedFigure"/>
      </w:pPr>
      <w:bookmarkStart w:id="40" w:name="fig:0010"/>
      <w:r>
        <w:drawing>
          <wp:inline>
            <wp:extent cx="3517900" cy="2717800"/>
            <wp:effectExtent b="0" l="0" r="0" t="0"/>
            <wp:docPr descr="Рис. 10: Курсор в начале строки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10: Курсор в начале строки</w:t>
      </w:r>
    </w:p>
    <w:p>
      <w:pPr>
        <w:pStyle w:val="CaptionedFigure"/>
      </w:pPr>
      <w:bookmarkStart w:id="42" w:name="fig:0011"/>
      <w:r>
        <w:drawing>
          <wp:inline>
            <wp:extent cx="3060700" cy="2959100"/>
            <wp:effectExtent b="0" l="0" r="0" t="0"/>
            <wp:docPr descr="Рис. 11: Курсор в конце строки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11: Курсор в конце строки</w:t>
      </w:r>
    </w:p>
    <w:p>
      <w:pPr>
        <w:pStyle w:val="CaptionedFigure"/>
      </w:pPr>
      <w:bookmarkStart w:id="44" w:name="fig:0012"/>
      <w:r>
        <w:drawing>
          <wp:inline>
            <wp:extent cx="3441700" cy="2844800"/>
            <wp:effectExtent b="0" l="0" r="0" t="0"/>
            <wp:docPr descr="Рис. 12: Курсор в начале буфер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12: Курсор в начале буфера</w:t>
      </w:r>
    </w:p>
    <w:p>
      <w:pPr>
        <w:pStyle w:val="CaptionedFigure"/>
      </w:pPr>
      <w:bookmarkStart w:id="46" w:name="fig:0013"/>
      <w:r>
        <w:drawing>
          <wp:inline>
            <wp:extent cx="3632200" cy="3416300"/>
            <wp:effectExtent b="0" l="0" r="0" t="0"/>
            <wp:docPr descr="Рис. 13: Курсор в конце буфера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13: Курсор в конце буфера</w:t>
      </w:r>
    </w:p>
    <w:p>
      <w:pPr>
        <w:numPr>
          <w:ilvl w:val="0"/>
          <w:numId w:val="1006"/>
        </w:numPr>
        <w:pStyle w:val="Compact"/>
      </w:pPr>
      <w:r>
        <w:t xml:space="preserve">Вывела список активных буферов командой ctrl-x ctrl-b(рис. 14)</w:t>
      </w:r>
    </w:p>
    <w:p>
      <w:pPr>
        <w:pStyle w:val="CaptionedFigure"/>
      </w:pPr>
      <w:bookmarkStart w:id="48" w:name="fig:0014"/>
      <w:r>
        <w:drawing>
          <wp:inline>
            <wp:extent cx="5334000" cy="2039686"/>
            <wp:effectExtent b="0" l="0" r="0" t="0"/>
            <wp:docPr descr="Рис. 14: Список активных буферов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9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14: Список активных буферов</w:t>
      </w:r>
    </w:p>
    <w:p>
      <w:pPr>
        <w:numPr>
          <w:ilvl w:val="0"/>
          <w:numId w:val="1007"/>
        </w:numPr>
        <w:pStyle w:val="Compact"/>
      </w:pPr>
      <w:r>
        <w:t xml:space="preserve">Переместилась в открытое окно и переключилась на другой буфер командой ctrl-x(рис. 15). Закрыла окно командой ctrl-x 0. Переключилась между буферами, но уже без вывода их на экран командой ctrl-x b</w:t>
      </w:r>
    </w:p>
    <w:p>
      <w:pPr>
        <w:pStyle w:val="CaptionedFigure"/>
      </w:pPr>
      <w:bookmarkStart w:id="50" w:name="fig:0015"/>
      <w:r>
        <w:drawing>
          <wp:inline>
            <wp:extent cx="5334000" cy="6376275"/>
            <wp:effectExtent b="0" l="0" r="0" t="0"/>
            <wp:docPr descr="Рис. 15: Переключение на другой буфер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76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15: Переключение на другой буфер</w:t>
      </w:r>
    </w:p>
    <w:p>
      <w:pPr>
        <w:numPr>
          <w:ilvl w:val="0"/>
          <w:numId w:val="1008"/>
        </w:numPr>
        <w:pStyle w:val="Compact"/>
      </w:pPr>
      <w:r>
        <w:t xml:space="preserve">Разделила экран на 4 части(рис. 16)</w:t>
      </w:r>
    </w:p>
    <w:p>
      <w:pPr>
        <w:pStyle w:val="CaptionedFigure"/>
      </w:pPr>
      <w:bookmarkStart w:id="52" w:name="fig:0016"/>
      <w:r>
        <w:drawing>
          <wp:inline>
            <wp:extent cx="5334000" cy="4476401"/>
            <wp:effectExtent b="0" l="0" r="0" t="0"/>
            <wp:docPr descr="Рис. 16: 4 части экрана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6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16: 4 части экрана</w:t>
      </w:r>
    </w:p>
    <w:p>
      <w:pPr>
        <w:numPr>
          <w:ilvl w:val="0"/>
          <w:numId w:val="1009"/>
        </w:numPr>
        <w:pStyle w:val="Compact"/>
      </w:pPr>
      <w:r>
        <w:t xml:space="preserve">Создаем новые текстовые документы и открываем их в окне(рис. 17)</w:t>
      </w:r>
    </w:p>
    <w:p>
      <w:pPr>
        <w:pStyle w:val="CaptionedFigure"/>
      </w:pPr>
      <w:bookmarkStart w:id="54" w:name="fig:0017"/>
      <w:r>
        <w:drawing>
          <wp:inline>
            <wp:extent cx="4660900" cy="1054100"/>
            <wp:effectExtent b="0" l="0" r="0" t="0"/>
            <wp:docPr descr="Рис. 17: новые текстовые документы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17: новые текстовые документы</w:t>
      </w:r>
    </w:p>
    <w:p>
      <w:pPr>
        <w:numPr>
          <w:ilvl w:val="0"/>
          <w:numId w:val="1010"/>
        </w:numPr>
        <w:pStyle w:val="Compact"/>
      </w:pPr>
      <w:r>
        <w:t xml:space="preserve">Вводим несколько строчек текста(рис. 18)</w:t>
      </w:r>
    </w:p>
    <w:p>
      <w:pPr>
        <w:pStyle w:val="CaptionedFigure"/>
      </w:pPr>
      <w:bookmarkStart w:id="56" w:name="fig:0018"/>
      <w:r>
        <w:drawing>
          <wp:inline>
            <wp:extent cx="5334000" cy="4609307"/>
            <wp:effectExtent b="0" l="0" r="0" t="0"/>
            <wp:docPr descr="Рис. 18: новый текст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9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18: новый текст</w:t>
      </w:r>
    </w:p>
    <w:p>
      <w:pPr>
        <w:numPr>
          <w:ilvl w:val="0"/>
          <w:numId w:val="1011"/>
        </w:numPr>
        <w:pStyle w:val="Compact"/>
      </w:pPr>
      <w:r>
        <w:t xml:space="preserve">Переключаюсь в режим поиска командой ctrl-s. Затем выхожу из режима поиска командой ctrl-g(рис. 19)</w:t>
      </w:r>
    </w:p>
    <w:p>
      <w:pPr>
        <w:pStyle w:val="CaptionedFigure"/>
      </w:pPr>
      <w:bookmarkStart w:id="58" w:name="fig:0019"/>
      <w:r>
        <w:drawing>
          <wp:inline>
            <wp:extent cx="5334000" cy="4782665"/>
            <wp:effectExtent b="0" l="0" r="0" t="0"/>
            <wp:docPr descr="Рис. 19: режим поиска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2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19: режим поиска</w:t>
      </w:r>
    </w:p>
    <w:p>
      <w:pPr>
        <w:numPr>
          <w:ilvl w:val="0"/>
          <w:numId w:val="1012"/>
        </w:numPr>
        <w:pStyle w:val="Compact"/>
      </w:pPr>
      <w:r>
        <w:t xml:space="preserve">Переходим в режим замены командой alt-% и заменяем слово на другое(рис. 20)</w:t>
      </w:r>
    </w:p>
    <w:p>
      <w:pPr>
        <w:pStyle w:val="CaptionedFigure"/>
      </w:pPr>
      <w:bookmarkStart w:id="60" w:name="fig:0020"/>
      <w:r>
        <w:drawing>
          <wp:inline>
            <wp:extent cx="3708400" cy="482600"/>
            <wp:effectExtent b="0" l="0" r="0" t="0"/>
            <wp:docPr descr="Рис. 20: замена слова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20: замена слова</w:t>
      </w:r>
    </w:p>
    <w:p>
      <w:pPr>
        <w:numPr>
          <w:ilvl w:val="0"/>
          <w:numId w:val="1013"/>
        </w:numPr>
        <w:pStyle w:val="Compact"/>
      </w:pPr>
      <w:r>
        <w:t xml:space="preserve">Ответы на контрольные вопросы:</w:t>
      </w:r>
    </w:p>
    <w:p>
      <w:pPr>
        <w:pStyle w:val="FirstParagraph"/>
      </w:pPr>
      <w:r>
        <w:t xml:space="preserve">1). Emacs − один из наиболее мощных и широко распространённых редакторов, используемых в мире Unix. По популярности он соперничает с редактором vi и его клонами. В зависимости от ситуации, Emacs может быть текстовым редактором; программой для чтения почты и новостей Usenet; интегрированной средой разработки (IDE); операционной системой и т.д.Всё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полнофункциональный. 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дни,написана на языке Lisp.</w:t>
      </w:r>
    </w:p>
    <w:p>
      <w:pPr>
        <w:pStyle w:val="BodyText"/>
      </w:pPr>
      <w:r>
        <w:t xml:space="preserve">2). Основную трудность для новичков при освоенииданного редактора могутсоставлять большое количество команд, комбинаций клавиш, которые не получится все запомнить с первого раза и поэтоупридется часто обращаться к справочным материалам.</w:t>
      </w:r>
    </w:p>
    <w:p>
      <w:pPr>
        <w:pStyle w:val="BodyText"/>
      </w:pPr>
      <w:r>
        <w:t xml:space="preserve">3). Буфер –это объект, представляющий собой текст. Если имеется несколько буферов, то редактировать можно только один. Обычно буфер считывает данные из файла или записывает в файл данные из буфера.Окно –это область экрана, отображающая буфер. При запуске редактора отображается одно окно, но при обращении к некоторым функциям могут открыться дополнительные окна. Окна Emacsи окна графической среды XWindow–разные вещи. Одно окно XWindowможет быть разбито на несколько окон в смысле Emacs, в каждом из которых отображается отдельный буфер.</w:t>
      </w:r>
    </w:p>
    <w:p>
      <w:pPr>
        <w:pStyle w:val="BodyText"/>
      </w:pPr>
      <w:r>
        <w:t xml:space="preserve">4). Да, можно.</w:t>
      </w:r>
    </w:p>
    <w:p>
      <w:pPr>
        <w:pStyle w:val="BodyText"/>
      </w:pPr>
      <w:r>
        <w:t xml:space="preserve">5). При запуске Emacsпо умолчанию создаются следующие буферы: «scratch»(буфер для несохраненного текста) «Messages»(журнал ошибок, включающий такжеинформацию, которая появляется в области EchoArea) «GNUEmacs»(справочный буфер о редакторе).</w:t>
      </w:r>
    </w:p>
    <w:p>
      <w:pPr>
        <w:pStyle w:val="BodyText"/>
      </w:pPr>
      <w:r>
        <w:t xml:space="preserve">6). C-c |сначала, удерживая «ctrl»,нажимаю «c»,после –отпускаюобе клавишии нажимаю «|» C-cC-|сначала, удерживая «ctrl»,нажимаю «с», после –отпускаю обе клавиши и, удерживая «ctrl», нажимаю «|».</w:t>
      </w:r>
    </w:p>
    <w:p>
      <w:pPr>
        <w:pStyle w:val="BodyText"/>
      </w:pPr>
      <w:r>
        <w:t xml:space="preserve">7). Чтобы поделить окно на две части необходимо воспользоваться комбинацией «Ctrl-x 3»(по вертикали) или «Ctrl-x 2» (по горизонтали).</w:t>
      </w:r>
    </w:p>
    <w:p>
      <w:pPr>
        <w:pStyle w:val="BodyText"/>
      </w:pPr>
      <w:r>
        <w:t xml:space="preserve">8). Настройки Emacsхранятся в файле .emacs.</w:t>
      </w:r>
    </w:p>
    <w:p>
      <w:pPr>
        <w:pStyle w:val="BodyText"/>
      </w:pPr>
      <w:r>
        <w:t xml:space="preserve">9). По умолчанию клавиша «←» удаляет символперед курсором, нов редакторе её можно переназначить. Для этого необхдимоизменить конфигурацию файла .emacs.</w:t>
      </w:r>
    </w:p>
    <w:p>
      <w:pPr>
        <w:pStyle w:val="BodyText"/>
      </w:pPr>
      <w:r>
        <w:t xml:space="preserve">10). Более удобным я считаю редактор emacs, потому чтов нем проще открывать другие файлы, можно использовать сразу несколько окон, нет «Командногорежима», «Режима ввода», «Режима командной строки», которые являются немного непривычными и в какой-то степени неудобным.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познакомилась с операционной системой Linux и получила практические навыки работы с редактором Emacs.</w:t>
      </w:r>
    </w:p>
    <w:bookmarkEnd w:id="62"/>
    <w:bookmarkStart w:id="64" w:name="список-литературы"/>
    <w:p>
      <w:pPr>
        <w:pStyle w:val="Heading1"/>
      </w:pPr>
      <w:r>
        <w:t xml:space="preserve">Список литературы</w:t>
      </w:r>
    </w:p>
    <w:bookmarkStart w:id="63" w:name="refs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Ничипорова Елена Дмитриевна</dc:creator>
  <dc:language>ru-RU</dc:language>
  <cp:keywords/>
  <dcterms:created xsi:type="dcterms:W3CDTF">2022-05-16T15:35:16Z</dcterms:created>
  <dcterms:modified xsi:type="dcterms:W3CDTF">2022-05-16T15:35:16Z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