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B3A5B"/>
          <w:sz w:val="46"/>
          <w:szCs w:val="46"/>
        </w:rPr>
        <w:t xml:space="preserve">Edoardo Di Vona</w:t>
      </w:r>
    </w:p>
    <w:p>
      <w:pPr>
        <w:spacing w:after="20"/>
      </w:pPr>
      <w:r>
        <w:rPr>
          <w:b/>
          <w:bCs/>
          <w:color w:val="9A7418"/>
          <w:spacing w:val="40"/>
          <w:sz w:val="24"/>
          <w:szCs w:val="24"/>
        </w:rPr>
        <w:t xml:space="preserve">SAP OTC Specialist</w:t>
      </w:r>
    </w:p>
    <w:p>
      <w:pPr>
        <w:spacing w:after="40"/>
      </w:pPr>
      <w:r>
        <w:rPr>
          <w:color w:val="555555"/>
          <w:sz w:val="19"/>
          <w:szCs w:val="19"/>
        </w:rPr>
        <w:t xml:space="preserve">SAP S/4HANA  |  Order-to-Cash  |  Global Rollouts  |  Integrations &amp; Data Migration</w:t>
      </w:r>
    </w:p>
    <w:p>
      <w:pPr>
        <w:spacing w:after="40"/>
      </w:pPr>
      <w:r>
        <w:rPr>
          <w:color w:val="2C2C2C"/>
          <w:sz w:val="19"/>
          <w:szCs w:val="19"/>
        </w:rPr>
        <w:t xml:space="preserve">+39 342 7080648  |  edoardodivona57@gmail.com  |  Isola del Liri (FR), Italy</w:t>
      </w:r>
    </w:p>
    <w:p>
      <w:pPr>
        <w:pBdr>
          <w:bottom w:val="single" w:color="BBBBBB" w:sz="6" w:space="3"/>
        </w:pBdr>
        <w:spacing w:after="70" w:before="150"/>
      </w:pPr>
      <w:r>
        <w:rPr>
          <w:b/>
          <w:bCs/>
          <w:color w:val="1B3A5B"/>
          <w:spacing w:val="30"/>
          <w:sz w:val="22"/>
          <w:szCs w:val="22"/>
        </w:rPr>
        <w:t xml:space="preserve">PROFILE</w:t>
      </w:r>
    </w:p>
    <w:p>
      <w:pPr>
        <w:spacing w:after="40"/>
        <w:jc w:val="both"/>
      </w:pPr>
      <w:r>
        <w:rPr>
          <w:color w:val="2C2C2C"/>
          <w:sz w:val="20"/>
          <w:szCs w:val="20"/>
        </w:rPr>
        <w:t xml:space="preserve">SAP Order-to-Cash (SD) specialist with solid experience in logistics and international S/4HANA rollouts. I combine end-to-end solution design with hands-on ABAP development and strong integration skills — REST API and IDoc interfaces orchestrated through SAP PO — owning solutions from requirements and architecture through build, go-live and hypercare. A dependable team player, I collaborate closely with colleagues and stakeholders to reach shared objectives and deliver project success.</w:t>
      </w:r>
    </w:p>
    <w:p>
      <w:pPr>
        <w:pBdr>
          <w:bottom w:val="single" w:color="BBBBBB" w:sz="6" w:space="3"/>
        </w:pBdr>
        <w:spacing w:after="70" w:before="150"/>
      </w:pPr>
      <w:r>
        <w:rPr>
          <w:b/>
          <w:bCs/>
          <w:color w:val="1B3A5B"/>
          <w:spacing w:val="30"/>
          <w:sz w:val="22"/>
          <w:szCs w:val="22"/>
        </w:rPr>
        <w:t xml:space="preserve">CORE COMPETENCIES</w:t>
      </w:r>
    </w:p>
    <w:p>
      <w:pPr>
        <w:spacing w:after="40"/>
      </w:pPr>
      <w:r>
        <w:rPr>
          <w:color w:val="2C2C2C"/>
          <w:sz w:val="20"/>
          <w:szCs w:val="20"/>
        </w:rPr>
        <w:t xml:space="preserve">SAP S/4HANA (SD/OTC &amp; MM) configuration · ABAP development &amp; advanced debugging · Integrations: REST APIs &amp; IDoc (standard &amp; custom, inbound/outbound) via SAP PO · User exits, BADIs, BAPIs (EXTENSIONIN), implicit enhancements · SD &amp; MM pricing &amp; condition technique · Custom output management (NAST) &amp; requirements · Order-to-Cash &amp; delivery/shipping flows · Data migration (open POs &amp; SOs) · Cutover, SIT/UAT &amp; hypercare · S/4HANA 2023 upgrade &amp; RISE migration · Requirements &amp; GAP analysis · SAP project management · MS Office</w:t>
      </w:r>
    </w:p>
    <w:p>
      <w:pPr>
        <w:pBdr>
          <w:bottom w:val="single" w:color="BBBBBB" w:sz="6" w:space="3"/>
        </w:pBdr>
        <w:spacing w:after="70" w:before="150"/>
      </w:pPr>
      <w:r>
        <w:rPr>
          <w:b/>
          <w:bCs/>
          <w:color w:val="1B3A5B"/>
          <w:spacing w:val="3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color w:val="2C2C2C"/>
          <w:sz w:val="21"/>
          <w:szCs w:val="21"/>
        </w:rPr>
        <w:t xml:space="preserve">SAP OTC Specialist · </w:t>
      </w:r>
      <w:r>
        <w:rPr>
          <w:b/>
          <w:bCs/>
          <w:color w:val="9A7418"/>
          <w:sz w:val="21"/>
          <w:szCs w:val="21"/>
        </w:rPr>
        <w:t xml:space="preserve">Technogym S.p.A.</w:t>
      </w:r>
      <w:r>
        <w:rPr>
          <w:i/>
          <w:iCs/>
          <w:color w:val="666666"/>
          <w:sz w:val="19"/>
          <w:szCs w:val="19"/>
        </w:rPr>
        <w:t xml:space="preserve">	03/2025 – Present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b w:val="false"/>
          <w:bCs w:val="false"/>
          <w:color w:val="2C2C2C"/>
          <w:sz w:val="20"/>
          <w:szCs w:val="20"/>
        </w:rPr>
        <w:t xml:space="preserve">Led </w:t>
      </w:r>
      <w:r>
        <w:rPr>
          <w:b/>
          <w:bCs/>
          <w:color w:val="2C2C2C"/>
          <w:sz w:val="20"/>
          <w:szCs w:val="20"/>
        </w:rPr>
        <w:t xml:space="preserve">5 SAP S/4HANA rollouts</w:t>
      </w:r>
      <w:r>
        <w:rPr>
          <w:b w:val="false"/>
          <w:bCs w:val="false"/>
          <w:color w:val="2C2C2C"/>
          <w:sz w:val="20"/>
          <w:szCs w:val="20"/>
        </w:rPr>
        <w:t xml:space="preserve"> for international subsidiaries (France, UAE, US, Australia, Saudi Arabia), standardizing the Order-to-Cash template.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b w:val="false"/>
          <w:bCs w:val="false"/>
          <w:color w:val="2C2C2C"/>
          <w:sz w:val="20"/>
          <w:szCs w:val="20"/>
        </w:rPr>
        <w:t xml:space="preserve">Delivered the </w:t>
      </w:r>
      <w:r>
        <w:rPr>
          <w:b/>
          <w:bCs/>
          <w:color w:val="2C2C2C"/>
          <w:sz w:val="20"/>
          <w:szCs w:val="20"/>
        </w:rPr>
        <w:t xml:space="preserve">S/4HANA 2023 upgrade</w:t>
      </w:r>
      <w:r>
        <w:rPr>
          <w:b w:val="false"/>
          <w:bCs w:val="false"/>
          <w:color w:val="2C2C2C"/>
          <w:sz w:val="20"/>
          <w:szCs w:val="20"/>
        </w:rPr>
        <w:t xml:space="preserve"> and the migration from </w:t>
      </w:r>
      <w:r>
        <w:rPr>
          <w:b/>
          <w:bCs/>
          <w:color w:val="2C2C2C"/>
          <w:sz w:val="20"/>
          <w:szCs w:val="20"/>
        </w:rPr>
        <w:t xml:space="preserve">on-premise to SAP RISE</w:t>
      </w:r>
      <w:r>
        <w:rPr>
          <w:b w:val="false"/>
          <w:bCs w:val="false"/>
          <w:color w:val="2C2C2C"/>
          <w:sz w:val="20"/>
          <w:szCs w:val="20"/>
        </w:rPr>
        <w:t xml:space="preserve"> for the OTC area, with no disruption to order fulfillment at cutover.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b w:val="false"/>
          <w:bCs w:val="false"/>
          <w:color w:val="2C2C2C"/>
          <w:sz w:val="20"/>
          <w:szCs w:val="20"/>
        </w:rPr>
        <w:t xml:space="preserve">Ran </w:t>
      </w:r>
      <w:r>
        <w:rPr>
          <w:b/>
          <w:bCs/>
          <w:color w:val="2C2C2C"/>
          <w:sz w:val="20"/>
          <w:szCs w:val="20"/>
        </w:rPr>
        <w:t xml:space="preserve">GAP analysis</w:t>
      </w:r>
      <w:r>
        <w:rPr>
          <w:b w:val="false"/>
          <w:bCs w:val="false"/>
          <w:color w:val="2C2C2C"/>
          <w:sz w:val="20"/>
          <w:szCs w:val="20"/>
        </w:rPr>
        <w:t xml:space="preserve"> and delivered the corresponding </w:t>
      </w:r>
      <w:r>
        <w:rPr>
          <w:b/>
          <w:bCs/>
          <w:color w:val="2C2C2C"/>
          <w:sz w:val="20"/>
          <w:szCs w:val="20"/>
        </w:rPr>
        <w:t xml:space="preserve">SD &amp; MM configuration</w:t>
      </w:r>
      <w:r>
        <w:rPr>
          <w:b w:val="false"/>
          <w:bCs w:val="false"/>
          <w:color w:val="2C2C2C"/>
          <w:sz w:val="20"/>
          <w:szCs w:val="20"/>
        </w:rPr>
        <w:t xml:space="preserve"> — pricing (condition technique, procedures and custom requirement/formula routines), OTC and logistics settings.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b w:val="false"/>
          <w:bCs w:val="false"/>
          <w:color w:val="2C2C2C"/>
          <w:sz w:val="20"/>
          <w:szCs w:val="20"/>
        </w:rPr>
        <w:t xml:space="preserve">Built </w:t>
      </w:r>
      <w:r>
        <w:rPr>
          <w:b/>
          <w:bCs/>
          <w:color w:val="2C2C2C"/>
          <w:sz w:val="20"/>
          <w:szCs w:val="20"/>
        </w:rPr>
        <w:t xml:space="preserve">system integrations</w:t>
      </w:r>
      <w:r>
        <w:rPr>
          <w:b w:val="false"/>
          <w:bCs w:val="false"/>
          <w:color w:val="2C2C2C"/>
          <w:sz w:val="20"/>
          <w:szCs w:val="20"/>
        </w:rPr>
        <w:t xml:space="preserve"> via REST APIs and IDoc flows (standard and fully custom, inbound/outbound) orchestrated through SAP PO — e.g. carrier shipping (FedEx Rate/Ship, incl. dangerous goods) and 3PL delivery/goods-movement IDocs (DELVRY07, MBGMCR).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b w:val="false"/>
          <w:bCs w:val="false"/>
          <w:color w:val="2C2C2C"/>
          <w:sz w:val="20"/>
          <w:szCs w:val="20"/>
        </w:rPr>
        <w:t xml:space="preserve">Integrated </w:t>
      </w:r>
      <w:r>
        <w:rPr>
          <w:b/>
          <w:bCs/>
          <w:color w:val="2C2C2C"/>
          <w:sz w:val="20"/>
          <w:szCs w:val="20"/>
        </w:rPr>
        <w:t xml:space="preserve">Salesforce</w:t>
      </w:r>
      <w:r>
        <w:rPr>
          <w:b w:val="false"/>
          <w:bCs w:val="false"/>
          <w:color w:val="2C2C2C"/>
          <w:sz w:val="20"/>
          <w:szCs w:val="20"/>
        </w:rPr>
        <w:t xml:space="preserve"> into S/4HANA (inbound) via </w:t>
      </w:r>
      <w:r>
        <w:rPr>
          <w:b/>
          <w:bCs/>
          <w:color w:val="2C2C2C"/>
          <w:sz w:val="20"/>
          <w:szCs w:val="20"/>
        </w:rPr>
        <w:t xml:space="preserve">BAPIs</w:t>
      </w:r>
      <w:r>
        <w:rPr>
          <w:b w:val="false"/>
          <w:bCs w:val="false"/>
          <w:color w:val="2C2C2C"/>
          <w:sz w:val="20"/>
          <w:szCs w:val="20"/>
        </w:rPr>
        <w:t xml:space="preserve"> orchestrated through SAP PO, mapping custom fields through </w:t>
      </w:r>
      <w:r>
        <w:rPr>
          <w:b/>
          <w:bCs/>
          <w:color w:val="2C2C2C"/>
          <w:sz w:val="20"/>
          <w:szCs w:val="20"/>
        </w:rPr>
        <w:t xml:space="preserve">EXTENSIONIN</w:t>
      </w:r>
      <w:r>
        <w:rPr>
          <w:b w:val="false"/>
          <w:bCs w:val="false"/>
          <w:color w:val="2C2C2C"/>
          <w:sz w:val="20"/>
          <w:szCs w:val="20"/>
        </w:rPr>
        <w:t xml:space="preserve"> and injecting logic via </w:t>
      </w:r>
      <w:r>
        <w:rPr>
          <w:b/>
          <w:bCs/>
          <w:color w:val="2C2C2C"/>
          <w:sz w:val="20"/>
          <w:szCs w:val="20"/>
        </w:rPr>
        <w:t xml:space="preserve">implicit enhancements</w:t>
      </w:r>
      <w:r>
        <w:rPr>
          <w:b w:val="false"/>
          <w:bCs w:val="false"/>
          <w:color w:val="2C2C2C"/>
          <w:sz w:val="20"/>
          <w:szCs w:val="20"/>
        </w:rPr>
        <w:t xml:space="preserve"> on the BAPIs.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b w:val="false"/>
          <w:bCs w:val="false"/>
          <w:color w:val="2C2C2C"/>
          <w:sz w:val="20"/>
          <w:szCs w:val="20"/>
        </w:rPr>
        <w:t xml:space="preserve">Developed </w:t>
      </w:r>
      <w:r>
        <w:rPr>
          <w:b/>
          <w:bCs/>
          <w:color w:val="2C2C2C"/>
          <w:sz w:val="20"/>
          <w:szCs w:val="20"/>
        </w:rPr>
        <w:t xml:space="preserve">custom output management</w:t>
      </w:r>
      <w:r>
        <w:rPr>
          <w:b w:val="false"/>
          <w:bCs w:val="false"/>
          <w:color w:val="2C2C2C"/>
          <w:sz w:val="20"/>
          <w:szCs w:val="20"/>
        </w:rPr>
        <w:t xml:space="preserve"> (NAST) with custom print programs and requirement routines.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b w:val="false"/>
          <w:bCs w:val="false"/>
          <w:color w:val="2C2C2C"/>
          <w:sz w:val="20"/>
          <w:szCs w:val="20"/>
        </w:rPr>
        <w:t xml:space="preserve">Developed </w:t>
      </w:r>
      <w:r>
        <w:rPr>
          <w:b/>
          <w:bCs/>
          <w:color w:val="2C2C2C"/>
          <w:sz w:val="20"/>
          <w:szCs w:val="20"/>
        </w:rPr>
        <w:t xml:space="preserve">ABAP</w:t>
      </w:r>
      <w:r>
        <w:rPr>
          <w:b w:val="false"/>
          <w:bCs w:val="false"/>
          <w:color w:val="2C2C2C"/>
          <w:sz w:val="20"/>
          <w:szCs w:val="20"/>
        </w:rPr>
        <w:t xml:space="preserve"> enhancements — user exits, BADIs, BAPIs and function modules — automating data conversions and OTC process steps.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b w:val="false"/>
          <w:bCs w:val="false"/>
          <w:color w:val="2C2C2C"/>
          <w:sz w:val="20"/>
          <w:szCs w:val="20"/>
        </w:rPr>
        <w:t xml:space="preserve">Migrated </w:t>
      </w:r>
      <w:r>
        <w:rPr>
          <w:b/>
          <w:bCs/>
          <w:color w:val="2C2C2C"/>
          <w:sz w:val="20"/>
          <w:szCs w:val="20"/>
        </w:rPr>
        <w:t xml:space="preserve">open Purchase and Sales Orders</w:t>
      </w:r>
      <w:r>
        <w:rPr>
          <w:b w:val="false"/>
          <w:bCs w:val="false"/>
          <w:color w:val="2C2C2C"/>
          <w:sz w:val="20"/>
          <w:szCs w:val="20"/>
        </w:rPr>
        <w:t xml:space="preserve"> at cutover, safeguarding data integrity across the transition.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b w:val="false"/>
          <w:bCs w:val="false"/>
          <w:color w:val="2C2C2C"/>
          <w:sz w:val="20"/>
          <w:szCs w:val="20"/>
        </w:rPr>
        <w:t xml:space="preserve">Provided </w:t>
      </w:r>
      <w:r>
        <w:rPr>
          <w:b/>
          <w:bCs/>
          <w:color w:val="2C2C2C"/>
          <w:sz w:val="20"/>
          <w:szCs w:val="20"/>
        </w:rPr>
        <w:t xml:space="preserve">hypercare</w:t>
      </w:r>
      <w:r>
        <w:rPr>
          <w:b w:val="false"/>
          <w:bCs w:val="false"/>
          <w:color w:val="2C2C2C"/>
          <w:sz w:val="20"/>
          <w:szCs w:val="20"/>
        </w:rPr>
        <w:t xml:space="preserve"> and daily support, resolving incidents through root-cause debugging.</w:t>
      </w:r>
    </w:p>
    <w:p>
      <w:pPr>
        <w:tabs>
          <w:tab w:val="right" w:pos="9026"/>
        </w:tabs>
        <w:spacing w:after="20" w:before="120"/>
      </w:pPr>
      <w:r>
        <w:rPr>
          <w:b/>
          <w:bCs/>
          <w:color w:val="2C2C2C"/>
          <w:sz w:val="21"/>
          <w:szCs w:val="21"/>
        </w:rPr>
        <w:t xml:space="preserve">SAP SD Consultant · </w:t>
      </w:r>
      <w:r>
        <w:rPr>
          <w:b/>
          <w:bCs/>
          <w:color w:val="9A7418"/>
          <w:sz w:val="21"/>
          <w:szCs w:val="21"/>
        </w:rPr>
        <w:t xml:space="preserve">Avvale</w:t>
      </w:r>
      <w:r>
        <w:rPr>
          <w:i/>
          <w:iCs/>
          <w:color w:val="666666"/>
          <w:sz w:val="19"/>
          <w:szCs w:val="19"/>
        </w:rPr>
        <w:t xml:space="preserve">	02/2022 – 03/2025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b w:val="false"/>
          <w:bCs w:val="false"/>
          <w:color w:val="2C2C2C"/>
          <w:sz w:val="20"/>
          <w:szCs w:val="20"/>
        </w:rPr>
        <w:t xml:space="preserve">Delivered a </w:t>
      </w:r>
      <w:r>
        <w:rPr>
          <w:b/>
          <w:bCs/>
          <w:color w:val="2C2C2C"/>
          <w:sz w:val="20"/>
          <w:szCs w:val="20"/>
        </w:rPr>
        <w:t xml:space="preserve">greenfield SAP implementation</w:t>
      </w:r>
      <w:r>
        <w:rPr>
          <w:b w:val="false"/>
          <w:bCs w:val="false"/>
          <w:color w:val="2C2C2C"/>
          <w:sz w:val="20"/>
          <w:szCs w:val="20"/>
        </w:rPr>
        <w:t xml:space="preserve"> across the MM/QM area, from requirements analysis to go-live.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b w:val="false"/>
          <w:bCs w:val="false"/>
          <w:color w:val="2C2C2C"/>
          <w:sz w:val="20"/>
          <w:szCs w:val="20"/>
        </w:rPr>
        <w:t xml:space="preserve">Configured </w:t>
      </w:r>
      <w:r>
        <w:rPr>
          <w:b/>
          <w:bCs/>
          <w:color w:val="2C2C2C"/>
          <w:sz w:val="20"/>
          <w:szCs w:val="20"/>
        </w:rPr>
        <w:t xml:space="preserve">SD/MM customizing</w:t>
      </w:r>
      <w:r>
        <w:rPr>
          <w:b w:val="false"/>
          <w:bCs w:val="false"/>
          <w:color w:val="2C2C2C"/>
          <w:sz w:val="20"/>
          <w:szCs w:val="20"/>
        </w:rPr>
        <w:t xml:space="preserve">, pricing procedures and the condition technique to business requirements.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b w:val="false"/>
          <w:bCs w:val="false"/>
          <w:color w:val="2C2C2C"/>
          <w:sz w:val="20"/>
          <w:szCs w:val="20"/>
        </w:rPr>
        <w:t xml:space="preserve">Designed and maintained </w:t>
      </w:r>
      <w:r>
        <w:rPr>
          <w:b/>
          <w:bCs/>
          <w:color w:val="2C2C2C"/>
          <w:sz w:val="20"/>
          <w:szCs w:val="20"/>
        </w:rPr>
        <w:t xml:space="preserve">interfaces with 3PL systems</w:t>
      </w:r>
      <w:r>
        <w:rPr>
          <w:b w:val="false"/>
          <w:bCs w:val="false"/>
          <w:color w:val="2C2C2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b w:val="false"/>
          <w:bCs w:val="false"/>
          <w:color w:val="2C2C2C"/>
          <w:sz w:val="20"/>
          <w:szCs w:val="20"/>
        </w:rPr>
        <w:t xml:space="preserve">Streamlined </w:t>
      </w:r>
      <w:r>
        <w:rPr>
          <w:b/>
          <w:bCs/>
          <w:color w:val="2C2C2C"/>
          <w:sz w:val="20"/>
          <w:szCs w:val="20"/>
        </w:rPr>
        <w:t xml:space="preserve">sales &amp; pricing order-fulfillment</w:t>
      </w:r>
      <w:r>
        <w:rPr>
          <w:b w:val="false"/>
          <w:bCs w:val="false"/>
          <w:color w:val="2C2C2C"/>
          <w:sz w:val="20"/>
          <w:szCs w:val="20"/>
        </w:rPr>
        <w:t xml:space="preserve"> flows and resolved recurring order issues.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b w:val="false"/>
          <w:bCs w:val="false"/>
          <w:color w:val="2C2C2C"/>
          <w:sz w:val="20"/>
          <w:szCs w:val="20"/>
        </w:rPr>
        <w:t xml:space="preserve">Coordinated </w:t>
      </w:r>
      <w:r>
        <w:rPr>
          <w:b/>
          <w:bCs/>
          <w:color w:val="2C2C2C"/>
          <w:sz w:val="20"/>
          <w:szCs w:val="20"/>
        </w:rPr>
        <w:t xml:space="preserve">SIT/UAT</w:t>
      </w:r>
      <w:r>
        <w:rPr>
          <w:b w:val="false"/>
          <w:bCs w:val="false"/>
          <w:color w:val="2C2C2C"/>
          <w:sz w:val="20"/>
          <w:szCs w:val="20"/>
        </w:rPr>
        <w:t xml:space="preserve"> test cycles with key users and drove defect resolution through to go-live.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b w:val="false"/>
          <w:bCs w:val="false"/>
          <w:color w:val="2C2C2C"/>
          <w:sz w:val="20"/>
          <w:szCs w:val="20"/>
        </w:rPr>
        <w:t xml:space="preserve">Trained key users and delivered ongoing post go-live support.</w:t>
      </w:r>
    </w:p>
    <w:p>
      <w:pPr>
        <w:pBdr>
          <w:bottom w:val="single" w:color="BBBBBB" w:sz="6" w:space="3"/>
        </w:pBdr>
        <w:spacing w:after="70" w:before="150"/>
      </w:pPr>
      <w:r>
        <w:rPr>
          <w:b/>
          <w:bCs/>
          <w:color w:val="1B3A5B"/>
          <w:spacing w:val="30"/>
          <w:sz w:val="22"/>
          <w:szCs w:val="22"/>
        </w:rPr>
        <w:t xml:space="preserve">KEY PROJECTS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b w:val="false"/>
          <w:bCs w:val="false"/>
          <w:color w:val="2C2C2C"/>
          <w:sz w:val="20"/>
          <w:szCs w:val="20"/>
        </w:rPr>
        <w:t xml:space="preserve">Managed the </w:t>
      </w:r>
      <w:r>
        <w:rPr>
          <w:b/>
          <w:bCs/>
          <w:color w:val="2C2C2C"/>
          <w:sz w:val="20"/>
          <w:szCs w:val="20"/>
        </w:rPr>
        <w:t xml:space="preserve">SAP rollout</w:t>
      </w:r>
      <w:r>
        <w:rPr>
          <w:b w:val="false"/>
          <w:bCs w:val="false"/>
          <w:color w:val="2C2C2C"/>
          <w:sz w:val="20"/>
          <w:szCs w:val="20"/>
        </w:rPr>
        <w:t xml:space="preserve"> for the US and South African branches of a leading Italian wellness company, focused on the logistics area.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b/>
          <w:bCs/>
          <w:color w:val="2C2C2C"/>
          <w:sz w:val="20"/>
          <w:szCs w:val="20"/>
        </w:rPr>
        <w:t xml:space="preserve">Post go-live support</w:t>
      </w:r>
      <w:r>
        <w:rPr>
          <w:b w:val="false"/>
          <w:bCs w:val="false"/>
          <w:color w:val="2C2C2C"/>
          <w:sz w:val="20"/>
          <w:szCs w:val="20"/>
        </w:rPr>
        <w:t xml:space="preserve">: problem-solving, query resolution, troubleshooting, root-cause analysis and corrective actions.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b/>
          <w:bCs/>
          <w:color w:val="2C2C2C"/>
          <w:sz w:val="20"/>
          <w:szCs w:val="20"/>
        </w:rPr>
        <w:t xml:space="preserve">Evolutive projects</w:t>
      </w:r>
      <w:r>
        <w:rPr>
          <w:b w:val="false"/>
          <w:bCs w:val="false"/>
          <w:color w:val="2C2C2C"/>
          <w:sz w:val="20"/>
          <w:szCs w:val="20"/>
        </w:rPr>
        <w:t xml:space="preserve"> for continuous improvement and process optimization across the OTC landscape.</w:t>
      </w:r>
    </w:p>
    <w:p>
      <w:pPr>
        <w:pBdr>
          <w:bottom w:val="single" w:color="BBBBBB" w:sz="6" w:space="3"/>
        </w:pBdr>
        <w:spacing w:after="70" w:before="150"/>
      </w:pPr>
      <w:r>
        <w:rPr>
          <w:b/>
          <w:bCs/>
          <w:color w:val="1B3A5B"/>
          <w:spacing w:val="30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color w:val="2C2C2C"/>
          <w:sz w:val="20"/>
          <w:szCs w:val="20"/>
        </w:rPr>
        <w:t xml:space="preserve">Master’s Degree – Ingegneria Gestionale</w:t>
      </w:r>
      <w:r>
        <w:rPr>
          <w:color w:val="555555"/>
          <w:sz w:val="19"/>
          <w:szCs w:val="19"/>
        </w:rPr>
        <w:t xml:space="preserve">  ·  Università degli Studi di Roma  ·  </w:t>
      </w:r>
      <w:r>
        <w:rPr>
          <w:b/>
          <w:bCs/>
          <w:color w:val="9A7418"/>
          <w:sz w:val="19"/>
          <w:szCs w:val="19"/>
        </w:rPr>
        <w:t xml:space="preserve">110/110</w:t>
      </w:r>
    </w:p>
    <w:p>
      <w:pPr>
        <w:spacing w:after="40"/>
      </w:pPr>
      <w:r>
        <w:rPr>
          <w:b/>
          <w:bCs/>
          <w:color w:val="2C2C2C"/>
          <w:sz w:val="20"/>
          <w:szCs w:val="20"/>
        </w:rPr>
        <w:t xml:space="preserve">Bachelor’s Degree – Ingegneria Industriale</w:t>
      </w:r>
      <w:r>
        <w:rPr>
          <w:color w:val="555555"/>
          <w:sz w:val="19"/>
          <w:szCs w:val="19"/>
        </w:rPr>
        <w:t xml:space="preserve">  ·  Università degli Studi di Cassino  ·  </w:t>
      </w:r>
      <w:r>
        <w:rPr>
          <w:b/>
          <w:bCs/>
          <w:color w:val="9A7418"/>
          <w:sz w:val="19"/>
          <w:szCs w:val="19"/>
        </w:rPr>
        <w:t xml:space="preserve">109/110</w:t>
      </w:r>
    </w:p>
    <w:p>
      <w:pPr>
        <w:pBdr>
          <w:bottom w:val="single" w:color="BBBBBB" w:sz="6" w:space="3"/>
        </w:pBdr>
        <w:spacing w:after="70" w:before="150"/>
      </w:pPr>
      <w:r>
        <w:rPr>
          <w:b/>
          <w:bCs/>
          <w:color w:val="1B3A5B"/>
          <w:spacing w:val="30"/>
          <w:sz w:val="22"/>
          <w:szCs w:val="22"/>
        </w:rPr>
        <w:t xml:space="preserve">LANGUAGES</w:t>
      </w:r>
    </w:p>
    <w:p>
      <w:pPr>
        <w:spacing w:after="40"/>
      </w:pPr>
      <w:r>
        <w:rPr>
          <w:color w:val="2C2C2C"/>
          <w:sz w:val="20"/>
          <w:szCs w:val="20"/>
        </w:rPr>
        <w:t xml:space="preserve">Italian — native   |   English — intermediate</w:t>
      </w:r>
    </w:p>
    <w:sectPr>
      <w:pgSz w:w="11906" w:h="16838" w:orient="portrait"/>
      <w:pgMar w:top="6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Edoardo Di Vona</dc:title>
  <dc:creator>Edoardo Di Vona</dc:creator>
  <cp:lastModifiedBy>Un-named</cp:lastModifiedBy>
  <cp:revision>1</cp:revision>
  <dcterms:created xsi:type="dcterms:W3CDTF">2026-08-14T21:04:43.645Z</dcterms:created>
  <dcterms:modified xsi:type="dcterms:W3CDTF">2026-08-14T21:04:43.645Z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