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E6" w:rsidRPr="00367584" w:rsidRDefault="008D69E6" w:rsidP="0036758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Helvetica"/>
          <w:b/>
          <w:bCs/>
          <w:sz w:val="24"/>
          <w:szCs w:val="24"/>
        </w:rPr>
      </w:pPr>
      <w:bookmarkStart w:id="0" w:name="_GoBack"/>
      <w:r w:rsidRPr="00367584">
        <w:rPr>
          <w:rFonts w:ascii="Century Gothic" w:eastAsia="Times New Roman" w:hAnsi="Century Gothic" w:cs="Helvetica"/>
          <w:b/>
          <w:bCs/>
          <w:sz w:val="24"/>
          <w:szCs w:val="24"/>
        </w:rPr>
        <w:t>Legge Regionale Puglia sull'esposizione al gas Radon</w:t>
      </w:r>
    </w:p>
    <w:bookmarkEnd w:id="0"/>
    <w:p w:rsidR="00367584" w:rsidRPr="00367584" w:rsidRDefault="00367584" w:rsidP="0036758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Helvetica"/>
          <w:b/>
          <w:bCs/>
          <w:sz w:val="24"/>
          <w:szCs w:val="24"/>
        </w:rPr>
      </w:pPr>
    </w:p>
    <w:p w:rsidR="00284D4C" w:rsidRPr="00367584" w:rsidRDefault="00A977AA" w:rsidP="0036758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Helvetica"/>
          <w:sz w:val="24"/>
          <w:szCs w:val="24"/>
        </w:rPr>
      </w:pPr>
      <w:r w:rsidRPr="00367584">
        <w:rPr>
          <w:rFonts w:ascii="Century Gothic" w:eastAsia="Times New Roman" w:hAnsi="Century Gothic" w:cs="Helvetica"/>
          <w:sz w:val="24"/>
          <w:szCs w:val="24"/>
        </w:rPr>
        <w:t>L</w:t>
      </w:r>
      <w:r w:rsidR="008D69E6" w:rsidRPr="00367584">
        <w:rPr>
          <w:rFonts w:ascii="Century Gothic" w:eastAsia="Times New Roman" w:hAnsi="Century Gothic" w:cs="Helvetica"/>
          <w:sz w:val="24"/>
          <w:szCs w:val="24"/>
        </w:rPr>
        <w:t>a</w:t>
      </w:r>
      <w:r w:rsidR="00284D4C" w:rsidRPr="00367584">
        <w:rPr>
          <w:rFonts w:ascii="Century Gothic" w:eastAsia="Times New Roman" w:hAnsi="Century Gothic" w:cs="Helvetica"/>
          <w:sz w:val="24"/>
          <w:szCs w:val="24"/>
        </w:rPr>
        <w:t xml:space="preserve"> Regione Puglia ha approvato la </w:t>
      </w:r>
      <w:r w:rsidR="00284D4C" w:rsidRPr="00367584">
        <w:rPr>
          <w:rFonts w:ascii="Century Gothic" w:eastAsia="Times New Roman" w:hAnsi="Century Gothic" w:cs="Helvetica"/>
          <w:b/>
          <w:sz w:val="24"/>
          <w:szCs w:val="24"/>
        </w:rPr>
        <w:t>Legge Regionale 3 novembre 2016, n. 30</w:t>
      </w:r>
      <w:r w:rsidR="00284D4C" w:rsidRPr="00367584">
        <w:rPr>
          <w:rFonts w:ascii="Century Gothic" w:eastAsia="Times New Roman" w:hAnsi="Century Gothic" w:cs="Helvetica"/>
          <w:sz w:val="24"/>
          <w:szCs w:val="24"/>
        </w:rPr>
        <w:t>, al fine di assicurare il più alto livello di protezione e tutela della salute pubblica dai rischi derivanti dalla esposizione dei cittadini alle emissioni di gas radon negli edifici residenziali e non residenziali.</w:t>
      </w:r>
    </w:p>
    <w:p w:rsidR="00284D4C" w:rsidRPr="00367584" w:rsidRDefault="00284D4C" w:rsidP="0036758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Helvetica"/>
          <w:bCs/>
          <w:sz w:val="24"/>
          <w:szCs w:val="24"/>
        </w:rPr>
      </w:pPr>
      <w:r w:rsidRPr="00367584">
        <w:rPr>
          <w:rFonts w:ascii="Century Gothic" w:eastAsia="Times New Roman" w:hAnsi="Century Gothic" w:cs="Helvetica"/>
          <w:sz w:val="24"/>
          <w:szCs w:val="24"/>
        </w:rPr>
        <w:t>Al fine di perseguire gli obiettivi suddetti, coerentemente con il Decreto Legislativo 17 marzo 1995, n. 230,</w:t>
      </w:r>
      <w:r w:rsidRPr="00367584">
        <w:rPr>
          <w:rFonts w:ascii="Century Gothic" w:eastAsia="Times New Roman" w:hAnsi="Century Gothic" w:cs="Helvetica"/>
          <w:sz w:val="24"/>
          <w:szCs w:val="24"/>
          <w:u w:val="single"/>
        </w:rPr>
        <w:t> </w:t>
      </w:r>
      <w:r w:rsidRPr="00367584">
        <w:rPr>
          <w:rFonts w:ascii="Century Gothic" w:eastAsia="Times New Roman" w:hAnsi="Century Gothic" w:cs="Helvetica"/>
          <w:b/>
          <w:bCs/>
          <w:sz w:val="24"/>
          <w:szCs w:val="24"/>
        </w:rPr>
        <w:t xml:space="preserve">la Regione </w:t>
      </w:r>
      <w:r w:rsidR="008D69E6" w:rsidRPr="00367584">
        <w:rPr>
          <w:rFonts w:ascii="Century Gothic" w:eastAsia="Times New Roman" w:hAnsi="Century Gothic" w:cs="Helvetica"/>
          <w:b/>
          <w:bCs/>
          <w:sz w:val="24"/>
          <w:szCs w:val="24"/>
        </w:rPr>
        <w:t xml:space="preserve">ha </w:t>
      </w:r>
      <w:r w:rsidRPr="00367584">
        <w:rPr>
          <w:rFonts w:ascii="Century Gothic" w:eastAsia="Times New Roman" w:hAnsi="Century Gothic" w:cs="Helvetica"/>
          <w:b/>
          <w:bCs/>
          <w:sz w:val="24"/>
          <w:szCs w:val="24"/>
        </w:rPr>
        <w:t>fissa</w:t>
      </w:r>
      <w:r w:rsidR="008D69E6" w:rsidRPr="00367584">
        <w:rPr>
          <w:rFonts w:ascii="Century Gothic" w:eastAsia="Times New Roman" w:hAnsi="Century Gothic" w:cs="Helvetica"/>
          <w:b/>
          <w:bCs/>
          <w:sz w:val="24"/>
          <w:szCs w:val="24"/>
        </w:rPr>
        <w:t>to</w:t>
      </w:r>
      <w:r w:rsidRPr="00367584">
        <w:rPr>
          <w:rFonts w:ascii="Century Gothic" w:eastAsia="Times New Roman" w:hAnsi="Century Gothic" w:cs="Helvetica"/>
          <w:b/>
          <w:bCs/>
          <w:sz w:val="24"/>
          <w:szCs w:val="24"/>
        </w:rPr>
        <w:t xml:space="preserve"> livelli limiti di riferimento di esposizione al gas radon</w:t>
      </w:r>
      <w:r w:rsidRPr="00367584">
        <w:rPr>
          <w:rFonts w:ascii="Century Gothic" w:eastAsia="Times New Roman" w:hAnsi="Century Gothic" w:cs="Helvetica"/>
          <w:sz w:val="24"/>
          <w:szCs w:val="24"/>
        </w:rPr>
        <w:t> </w:t>
      </w:r>
      <w:r w:rsidRPr="00367584">
        <w:rPr>
          <w:rFonts w:ascii="Century Gothic" w:eastAsia="Times New Roman" w:hAnsi="Century Gothic" w:cs="Helvetica"/>
          <w:bCs/>
          <w:sz w:val="24"/>
          <w:szCs w:val="24"/>
        </w:rPr>
        <w:t>per tutte le nuove costruzioni, e coerenti azioni di monitoraggio e risanamento per gli edifici esistenti.</w:t>
      </w:r>
    </w:p>
    <w:p w:rsidR="00367584" w:rsidRPr="00367584" w:rsidRDefault="00367584" w:rsidP="0036758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Helvetica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7"/>
        <w:gridCol w:w="6421"/>
      </w:tblGrid>
      <w:tr w:rsidR="00367584" w:rsidRPr="00367584" w:rsidTr="00613A3B">
        <w:tc>
          <w:tcPr>
            <w:tcW w:w="325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Chi sono i soggetti interessati da questa legge?</w:t>
            </w:r>
          </w:p>
          <w:p w:rsidR="00367584" w:rsidRPr="00367584" w:rsidRDefault="00367584" w:rsidP="00367584">
            <w:pPr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</w:p>
        </w:tc>
        <w:tc>
          <w:tcPr>
            <w:tcW w:w="651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Per quanto riguarda:</w:t>
            </w:r>
          </w:p>
          <w:p w:rsidR="00367584" w:rsidRPr="00367584" w:rsidRDefault="00367584" w:rsidP="00367584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 xml:space="preserve">gli edifici di nuova costruzione, i soggetti obbligati sono i </w:t>
            </w: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  <w:u w:val="single"/>
              </w:rPr>
              <w:t>proprietari degli immobili</w:t>
            </w: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;</w:t>
            </w:r>
          </w:p>
          <w:p w:rsidR="00367584" w:rsidRPr="00367584" w:rsidRDefault="00367584" w:rsidP="00367584">
            <w:pPr>
              <w:pStyle w:val="Paragrafoelenco"/>
              <w:numPr>
                <w:ilvl w:val="0"/>
                <w:numId w:val="1"/>
              </w:numPr>
              <w:spacing w:line="360" w:lineRule="auto"/>
              <w:jc w:val="both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 xml:space="preserve">gli edifici già esistenti, i soggetti obbligati sono </w:t>
            </w: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  <w:u w:val="single"/>
              </w:rPr>
              <w:t>gli esercenti</w:t>
            </w: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 xml:space="preserve"> di tutte le attività aperte al pubblico (studi medici, negozi, </w:t>
            </w:r>
            <w:proofErr w:type="gramStart"/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biblioteche,…</w:t>
            </w:r>
            <w:proofErr w:type="gramEnd"/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) e di quelle relative all’istruzione (asili nido, scuole materne, scuole di grado superiore,…).</w:t>
            </w:r>
          </w:p>
          <w:p w:rsidR="00367584" w:rsidRPr="00367584" w:rsidRDefault="00367584" w:rsidP="00367584">
            <w:pPr>
              <w:pStyle w:val="Paragrafoelenco"/>
              <w:spacing w:line="360" w:lineRule="auto"/>
              <w:ind w:left="360"/>
              <w:jc w:val="both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</w:p>
        </w:tc>
      </w:tr>
      <w:tr w:rsidR="00367584" w:rsidRPr="00367584" w:rsidTr="00613A3B">
        <w:tc>
          <w:tcPr>
            <w:tcW w:w="325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Che cosa bisogna fare?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</w:p>
        </w:tc>
        <w:tc>
          <w:tcPr>
            <w:tcW w:w="651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I soggetti obbligati identificati dalla legge devono:</w:t>
            </w:r>
          </w:p>
          <w:p w:rsidR="00367584" w:rsidRPr="00367584" w:rsidRDefault="00367584" w:rsidP="00367584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in caso di nuova costruzione</w:t>
            </w: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: effettuare studi preliminari del suolo e del sottosuolo seguendo prescrizioni in materia di costruzione di manufatti edilizi, tutti da definire in fase di progetto, nonché le misure in tutti i locali dell’immobile interessato, al fine del rilascio della certificazione di agibilità;</w:t>
            </w:r>
          </w:p>
          <w:p w:rsidR="00367584" w:rsidRPr="00367584" w:rsidRDefault="00367584" w:rsidP="00367584">
            <w:pPr>
              <w:pStyle w:val="Paragrafoelenco"/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in caso di edificio esistente</w:t>
            </w: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: avviare le misurazioni dei livelli del gas radon in tutti i locali dell’immobile interessato, e trasmettere gli esiti entro un mese dalla conclusione del rilevamento al comune interessato e ad ARPA Puglia.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 xml:space="preserve">La trasmissione degli esiti deve essere effettuata tramite relazione scritta redatta </w:t>
            </w:r>
            <w:r w:rsidRPr="00367584">
              <w:rPr>
                <w:rFonts w:ascii="Century Gothic" w:eastAsia="Times New Roman" w:hAnsi="Century Gothic" w:cs="Helvetica"/>
                <w:sz w:val="24"/>
                <w:szCs w:val="24"/>
                <w:u w:val="single"/>
              </w:rPr>
              <w:t>sotto la responsabilità di un tecnico abilitato ad effettuare le misurazioni.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I livelli limite di riferimento sono misurati con un valore medio di concentrazione annuale suddiviso in due semestri (primaverile/estivo - autunnale/invernale) tramite strumentazione passiva (dosimetri).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</w:p>
        </w:tc>
      </w:tr>
      <w:tr w:rsidR="00367584" w:rsidRPr="00367584" w:rsidTr="00613A3B">
        <w:tc>
          <w:tcPr>
            <w:tcW w:w="325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lastRenderedPageBreak/>
              <w:t>Cosa accade in caso di mancato rispetto della norma?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</w:p>
        </w:tc>
        <w:tc>
          <w:tcPr>
            <w:tcW w:w="651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b/>
                <w:sz w:val="24"/>
                <w:szCs w:val="24"/>
                <w:u w:val="single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In caso di mancata trasmissione delle misurazioni relative agli edifici esistenti, il comune concede un ulteriore termine di trenta giorni; la eventuale infruttuosa scadenza degli adempimenti comporterà la </w:t>
            </w: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  <w:u w:val="single"/>
              </w:rPr>
              <w:t>sospensione per dettato di legge della certificazione di agibilità.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</w:p>
        </w:tc>
      </w:tr>
      <w:tr w:rsidR="00367584" w:rsidRPr="00367584" w:rsidTr="00613A3B">
        <w:tc>
          <w:tcPr>
            <w:tcW w:w="325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Ogni quanto tempo devo rinnovare le attività di monitoraggio?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rPr>
                <w:rFonts w:ascii="Century Gothic" w:eastAsia="Times New Roman" w:hAnsi="Century Gothic" w:cs="Helvetica"/>
                <w:b/>
                <w:sz w:val="24"/>
                <w:szCs w:val="24"/>
              </w:rPr>
            </w:pPr>
          </w:p>
        </w:tc>
        <w:tc>
          <w:tcPr>
            <w:tcW w:w="6519" w:type="dxa"/>
          </w:tcPr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 xml:space="preserve">Per le nuove costruzioni le attività di monitoraggio, devono essere compiute ogni </w:t>
            </w:r>
            <w:r w:rsidRPr="00367584">
              <w:rPr>
                <w:rFonts w:ascii="Century Gothic" w:eastAsia="Times New Roman" w:hAnsi="Century Gothic" w:cs="Helvetica"/>
                <w:b/>
                <w:sz w:val="24"/>
                <w:szCs w:val="24"/>
              </w:rPr>
              <w:t>dieci anni</w:t>
            </w: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, calcolati dalla data di rilascio della certificazione di agibilità dell’immobile.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  <w:r w:rsidRPr="00367584">
              <w:rPr>
                <w:rFonts w:ascii="Century Gothic" w:eastAsia="Times New Roman" w:hAnsi="Century Gothic" w:cs="Helvetica"/>
                <w:sz w:val="24"/>
                <w:szCs w:val="24"/>
              </w:rPr>
              <w:t>Per gli edifici esistenti le attività di rinnovo devono essere compiute a pena di ogni cinque anni dall’ultimo monitoraggio. Tuttavia, in caso di superamento del livello limite di riferimento per concentrazione bisogna dare avvio ad una procedura di risanamento.</w:t>
            </w:r>
          </w:p>
          <w:p w:rsidR="00367584" w:rsidRPr="00367584" w:rsidRDefault="00367584" w:rsidP="00367584">
            <w:pPr>
              <w:shd w:val="clear" w:color="auto" w:fill="FFFFFF"/>
              <w:spacing w:line="360" w:lineRule="auto"/>
              <w:jc w:val="both"/>
              <w:rPr>
                <w:rFonts w:ascii="Century Gothic" w:eastAsia="Times New Roman" w:hAnsi="Century Gothic" w:cs="Helvetica"/>
                <w:sz w:val="24"/>
                <w:szCs w:val="24"/>
              </w:rPr>
            </w:pPr>
          </w:p>
        </w:tc>
      </w:tr>
    </w:tbl>
    <w:p w:rsidR="004C1AFE" w:rsidRPr="00367584" w:rsidRDefault="004C1AFE" w:rsidP="00367584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Helvetica"/>
          <w:sz w:val="24"/>
          <w:szCs w:val="24"/>
        </w:rPr>
      </w:pPr>
    </w:p>
    <w:sectPr w:rsidR="004C1AFE" w:rsidRPr="00367584" w:rsidSect="00A35B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E0A"/>
    <w:multiLevelType w:val="hybridMultilevel"/>
    <w:tmpl w:val="1144B38C"/>
    <w:lvl w:ilvl="0" w:tplc="1A046C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4C"/>
    <w:rsid w:val="002220A0"/>
    <w:rsid w:val="00284D4C"/>
    <w:rsid w:val="00367584"/>
    <w:rsid w:val="00425699"/>
    <w:rsid w:val="004C1AFE"/>
    <w:rsid w:val="00613A3B"/>
    <w:rsid w:val="008D69E6"/>
    <w:rsid w:val="00983C6E"/>
    <w:rsid w:val="00A35BAD"/>
    <w:rsid w:val="00A977AA"/>
    <w:rsid w:val="00A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F2E43-530D-8B45-8086-C05148B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35BAD"/>
  </w:style>
  <w:style w:type="paragraph" w:styleId="Titolo1">
    <w:name w:val="heading 1"/>
    <w:basedOn w:val="Normale"/>
    <w:next w:val="Normale"/>
    <w:link w:val="Titolo1Carattere"/>
    <w:uiPriority w:val="9"/>
    <w:qFormat/>
    <w:rsid w:val="00284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link w:val="Titolo3Carattere"/>
    <w:uiPriority w:val="9"/>
    <w:qFormat/>
    <w:rsid w:val="00284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84D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eWeb">
    <w:name w:val="Normal (Web)"/>
    <w:basedOn w:val="Normale"/>
    <w:uiPriority w:val="99"/>
    <w:semiHidden/>
    <w:unhideWhenUsed/>
    <w:rsid w:val="0028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Carpredefinitoparagrafo"/>
    <w:rsid w:val="00284D4C"/>
  </w:style>
  <w:style w:type="character" w:styleId="Collegamentoipertestuale">
    <w:name w:val="Hyperlink"/>
    <w:basedOn w:val="Carpredefinitoparagrafo"/>
    <w:uiPriority w:val="99"/>
    <w:semiHidden/>
    <w:unhideWhenUsed/>
    <w:rsid w:val="00284D4C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4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284D4C"/>
    <w:rPr>
      <w:b/>
      <w:bCs/>
    </w:rPr>
  </w:style>
  <w:style w:type="character" w:styleId="Enfasicorsivo">
    <w:name w:val="Emphasis"/>
    <w:basedOn w:val="Carpredefinitoparagrafo"/>
    <w:uiPriority w:val="20"/>
    <w:qFormat/>
    <w:rsid w:val="00284D4C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4D4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977AA"/>
    <w:pPr>
      <w:ind w:left="720"/>
      <w:contextualSpacing/>
    </w:pPr>
  </w:style>
  <w:style w:type="table" w:styleId="Grigliatabella">
    <w:name w:val="Table Grid"/>
    <w:basedOn w:val="Tabellanormale"/>
    <w:uiPriority w:val="59"/>
    <w:rsid w:val="00367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Mary</cp:lastModifiedBy>
  <cp:revision>2</cp:revision>
  <cp:lastPrinted>2017-09-30T18:15:00Z</cp:lastPrinted>
  <dcterms:created xsi:type="dcterms:W3CDTF">2017-09-30T18:27:00Z</dcterms:created>
  <dcterms:modified xsi:type="dcterms:W3CDTF">2017-09-30T18:27:00Z</dcterms:modified>
</cp:coreProperties>
</file>