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FF8C00" w:sz="8" w:space="20"/>
        </w:pBdr>
        <w:spacing w:after="200"/>
        <w:jc w:val="center"/>
      </w:pPr>
      <w:r>
        <w:rPr>
          <w:rFonts w:ascii="Comfortaa" w:cs="Comfortaa" w:eastAsia="Comfortaa" w:hAnsi="Comfortaa"/>
          <w:b/>
          <w:bCs/>
          <w:color w:val="FF8C00"/>
          <w:sz w:val="72"/>
          <w:szCs w:val="72"/>
        </w:rPr>
        <w:t xml:space="preserve">easyWin</w:t>
      </w:r>
    </w:p>
    <w:p>
      <w:pPr>
        <w:spacing w:before="400" w:after="100"/>
        <w:jc w:val="center"/>
      </w:pPr>
      <w:r>
        <w:rPr>
          <w:rFonts w:ascii="Comfortaa" w:cs="Comfortaa" w:eastAsia="Comfortaa" w:hAnsi="Comfortaa"/>
          <w:color w:val="1A1A1A"/>
          <w:sz w:val="40"/>
          <w:szCs w:val="40"/>
        </w:rPr>
        <w:t xml:space="preserve">Architettura del Nuovo Sito Web</w:t>
      </w:r>
    </w:p>
    <w:p>
      <w:pPr>
        <w:spacing w:after="200"/>
        <w:jc w:val="center"/>
      </w:pPr>
      <w:r>
        <w:rPr>
          <w:rFonts w:ascii="Open Sans" w:cs="Open Sans" w:eastAsia="Open Sans" w:hAnsi="Open Sans"/>
          <w:color w:val="666666"/>
          <w:sz w:val="26"/>
          <w:szCs w:val="26"/>
        </w:rPr>
        <w:t xml:space="preserve">Piattaforma AI-Powered per Gare d'Appalto</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FFF3E0" w:val="clear"/>
            <w:tcMar>
              <w:top w:type="dxa" w:w="200"/>
              <w:left w:type="dxa" w:w="300"/>
              <w:bottom w:type="dxa" w:w="200"/>
              <w:right w:type="dxa" w:w="300"/>
            </w:tcMar>
          </w:tcPr>
          <w:p>
            <w:pPr>
              <w:spacing w:after="80"/>
              <w:jc w:val="center"/>
            </w:pPr>
            <w:r>
              <w:rPr>
                <w:rFonts w:ascii="Open Sans" w:cs="Open Sans" w:eastAsia="Open Sans" w:hAnsi="Open Sans"/>
                <w:b/>
                <w:bCs/>
                <w:color w:val="1A1A1A"/>
                <w:sz w:val="22"/>
                <w:szCs w:val="22"/>
              </w:rPr>
              <w:t xml:space="preserve">Versione 2.0</w:t>
            </w:r>
          </w:p>
          <w:p>
            <w:pPr>
              <w:spacing w:after="80"/>
              <w:jc w:val="center"/>
            </w:pPr>
            <w:r>
              <w:rPr>
                <w:rFonts w:ascii="Open Sans" w:cs="Open Sans" w:eastAsia="Open Sans" w:hAnsi="Open Sans"/>
                <w:color w:val="666666"/>
                <w:sz w:val="20"/>
                <w:szCs w:val="20"/>
              </w:rPr>
              <w:t xml:space="preserve">Marzo 2026</w:t>
            </w:r>
          </w:p>
          <w:p>
            <w:pPr>
              <w:jc w:val="center"/>
            </w:pPr>
            <w:r>
              <w:rPr>
                <w:rFonts w:ascii="Open Sans" w:cs="Open Sans" w:eastAsia="Open Sans" w:hAnsi="Open Sans"/>
                <w:color w:val="FF8C00"/>
                <w:sz w:val="20"/>
                <w:szCs w:val="20"/>
              </w:rPr>
              <w:t xml:space="preserve">Documento Riservato</w:t>
            </w:r>
          </w:p>
        </w:tc>
      </w:tr>
    </w:tbl>
    <w:p>
      <w:r>
        <w:br w:type="page"/>
      </w:r>
    </w:p>
    <w:p>
      <w:pPr>
        <w:sectPr>
          <w:pgSz w:w="11906" w:h="16838" w:orient="portrait"/>
          <w:pgMar w:top="1440" w:right="1440" w:bottom="1440" w:left="1440" w:header="708" w:footer="708" w:gutter="0"/>
          <w:pgNumType/>
          <w:docGrid w:linePitch="360"/>
        </w:sectPr>
      </w:pPr>
    </w:p>
    <w:p>
      <w:pPr>
        <w:pStyle w:val="Heading1"/>
        <w:spacing w:before="300" w:after="200"/>
      </w:pPr>
      <w:r>
        <w:t xml:space="preserve">1. Introduzione</w:t>
      </w:r>
    </w:p>
    <w:p>
      <w:pPr>
        <w:spacing w:after="160"/>
      </w:pPr>
      <w:r>
        <w:rPr>
          <w:rFonts w:ascii="Open Sans" w:cs="Open Sans" w:eastAsia="Open Sans" w:hAnsi="Open Sans"/>
          <w:color w:val="333333"/>
          <w:sz w:val="22"/>
          <w:szCs w:val="22"/>
        </w:rPr>
        <w:t xml:space="preserve">Questo documento descrive l'architettura tecnica del nuovo sito easyWin, una piattaforma evoluta per la gestione delle gare d'appalto che integra l'intelligenza artificiale nei processi chiave di analisi bandi, esiti, simulazioni di ribasso e molto altro.</w:t>
      </w:r>
    </w:p>
    <w:p>
      <w:pPr>
        <w:spacing w:after="160"/>
      </w:pPr>
      <w:r>
        <w:rPr>
          <w:rFonts w:ascii="Open Sans" w:cs="Open Sans" w:eastAsia="Open Sans" w:hAnsi="Open Sans"/>
          <w:color w:val="333333"/>
          <w:sz w:val="22"/>
          <w:szCs w:val="22"/>
        </w:rPr>
        <w:t xml:space="preserve">L'obiettivo principale del progetto è modernizzare la piattaforma esistente, mantenendo la compatibilità con il database storico di oltre 56 GB contenente 25 anni di dati su bandi, esiti e aziende, introducendo al contempo funzionalità AI innovative che automatizzano e potenziano le attività più complesse.</w:t>
      </w:r>
    </w:p>
    <w:p>
      <w:pPr>
        <w:pBdr>
          <w:bottom w:val="single" w:color="FF8C00" w:sz="4" w:space="8"/>
        </w:pBdr>
        <w:spacing w:before="200" w:after="200"/>
      </w:pPr>
    </w:p>
    <w:p>
      <w:pPr>
        <w:pStyle w:val="Heading1"/>
        <w:spacing w:before="300" w:after="200"/>
      </w:pPr>
      <w:r>
        <w:t xml:space="preserve">2. Stack Tecnologico</w:t>
      </w:r>
    </w:p>
    <w:p>
      <w:pPr>
        <w:spacing w:after="160"/>
      </w:pPr>
      <w:r>
        <w:rPr>
          <w:rFonts w:ascii="Open Sans" w:cs="Open Sans" w:eastAsia="Open Sans" w:hAnsi="Open Sans"/>
          <w:color w:val="333333"/>
          <w:sz w:val="22"/>
          <w:szCs w:val="22"/>
        </w:rPr>
        <w:t xml:space="preserve">La nuova architettura adotta tecnologie moderne, performanti e scalabili, mantenendo la compatibilità con i dati esistenti.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20"/>
                <w:szCs w:val="20"/>
              </w:rPr>
              <w:t xml:space="preserve">Layer</w:t>
            </w:r>
          </w:p>
        </w:tc>
        <w:tc>
          <w:tcPr>
            <w:tcW w:type="dxa" w:w="358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20"/>
                <w:szCs w:val="20"/>
              </w:rPr>
              <w:t xml:space="preserve">Tecnologia</w:t>
            </w:r>
          </w:p>
        </w:tc>
        <w:tc>
          <w:tcPr>
            <w:tcW w:type="dxa" w:w="358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20"/>
                <w:szCs w:val="20"/>
              </w:rPr>
              <w:t xml:space="preserve">Scopo</w:t>
            </w:r>
          </w:p>
        </w:tc>
      </w:tr>
      <w:tr>
        <w:tc>
          <w:tcPr>
            <w:tcW w:type="dxa" w:w="22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b/>
                <w:bCs/>
                <w:color w:val="1A1A1A"/>
                <w:sz w:val="20"/>
                <w:szCs w:val="20"/>
              </w:rPr>
              <w:t xml:space="preserve">Frontend</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Next.js 14 + React</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Interfaccia utente reattiva e SEO-friendly</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b/>
                <w:bCs/>
                <w:color w:val="1A1A1A"/>
                <w:sz w:val="20"/>
                <w:szCs w:val="20"/>
              </w:rPr>
              <w:t xml:space="preserve">Stile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Tailwind CSS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Design system coerente con brand easyWin</w:t>
            </w:r>
          </w:p>
        </w:tc>
      </w:tr>
      <w:tr>
        <w:tc>
          <w:tcPr>
            <w:tcW w:type="dxa" w:w="22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b/>
                <w:bCs/>
                <w:color w:val="1A1A1A"/>
                <w:sz w:val="20"/>
                <w:szCs w:val="20"/>
              </w:rPr>
              <w:t xml:space="preserve">Backend</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Node.js + Fastify</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API REST ad alte prestazioni</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b/>
                <w:bCs/>
                <w:color w:val="1A1A1A"/>
                <w:sz w:val="20"/>
                <w:szCs w:val="20"/>
              </w:rPr>
              <w:t xml:space="preserve">Database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PostgreSQL</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Migrazione progressiva da SQL Server</w:t>
            </w:r>
          </w:p>
        </w:tc>
      </w:tr>
      <w:tr>
        <w:tc>
          <w:tcPr>
            <w:tcW w:type="dxa" w:w="22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b/>
                <w:bCs/>
                <w:color w:val="1A1A1A"/>
                <w:sz w:val="20"/>
                <w:szCs w:val="20"/>
              </w:rPr>
              <w:t xml:space="preserve">AI Engine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Claude API (Anthropic)</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Analisi documenti, simulazioni, NLP</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b/>
                <w:bCs/>
                <w:color w:val="1A1A1A"/>
                <w:sz w:val="20"/>
                <w:szCs w:val="20"/>
              </w:rPr>
              <w:t xml:space="preserve">Mappe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Leaflet / Mapbox</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Mappa interattiva sopralluoghi</w:t>
            </w:r>
          </w:p>
        </w:tc>
      </w:tr>
      <w:tr>
        <w:tc>
          <w:tcPr>
            <w:tcW w:type="dxa" w:w="22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b/>
                <w:bCs/>
                <w:color w:val="1A1A1A"/>
                <w:sz w:val="20"/>
                <w:szCs w:val="20"/>
              </w:rPr>
              <w:t xml:space="preserve">Auth</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NextAuth.js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Autenticazione sicura multi-provider</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b/>
                <w:bCs/>
                <w:color w:val="1A1A1A"/>
                <w:sz w:val="20"/>
                <w:szCs w:val="20"/>
              </w:rPr>
              <w:t xml:space="preserve">Hosting</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333333"/>
                <w:sz w:val="20"/>
                <w:szCs w:val="20"/>
              </w:rPr>
              <w:t xml:space="preserve">Vercel + VPS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Open Sans" w:cs="Open Sans" w:eastAsia="Open Sans" w:hAnsi="Open Sans"/>
                <w:color w:val="666666"/>
                <w:sz w:val="20"/>
                <w:szCs w:val="20"/>
              </w:rPr>
              <w:t xml:space="preserve">CDN globale + server dedicato</w:t>
            </w:r>
          </w:p>
        </w:tc>
      </w:tr>
    </w:tbl>
    <w:p>
      <w:pPr>
        <w:spacing w:after="200"/>
      </w:pPr>
    </w:p>
    <w:p>
      <w:pPr>
        <w:pBdr>
          <w:bottom w:val="single" w:color="FF8C00" w:sz="4" w:space="8"/>
        </w:pBdr>
        <w:spacing w:before="200" w:after="200"/>
      </w:pPr>
    </w:p>
    <w:p>
      <w:pPr>
        <w:pStyle w:val="Heading1"/>
        <w:spacing w:before="300" w:after="200"/>
      </w:pPr>
      <w:r>
        <w:t xml:space="preserve">3. Le 6 Funzionalità AI</w:t>
      </w:r>
    </w:p>
    <w:p>
      <w:pPr>
        <w:spacing w:after="160"/>
      </w:pPr>
      <w:r>
        <w:rPr>
          <w:rFonts w:ascii="Open Sans" w:cs="Open Sans" w:eastAsia="Open Sans" w:hAnsi="Open Sans"/>
          <w:color w:val="333333"/>
          <w:sz w:val="22"/>
          <w:szCs w:val="22"/>
        </w:rPr>
        <w:t xml:space="preserve">Il cuore dell'innovazione easyWin risiede in sei funzionalità principali, quattro delle quali potenziate dall'intelligenza artificiale.</w:t>
      </w:r>
    </w:p>
    <w:p>
      <w:pPr>
        <w:spacing w:after="300"/>
      </w:pPr>
    </w:p>
    <w:p>
      <w:pPr>
        <w:pStyle w:val="Heading2"/>
        <w:spacing w:before="300" w:after="200"/>
      </w:pPr>
      <w:r>
        <w:t xml:space="preserve">3.1 Bandi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6"/>
              <w:left w:val="none" w:color="FFFFFF" w:sz="0"/>
              <w:bottom w:val="none" w:color="FFFFFF" w:sz="0"/>
              <w:right w:val="none" w:color="FFFFFF" w:sz="0"/>
            </w:tcBorders>
            <w:shd w:fill="FFF3E0" w:val="clear"/>
            <w:tcMar>
              <w:top w:type="dxa" w:w="140"/>
              <w:left w:type="dxa" w:w="200"/>
              <w:bottom w:type="dxa" w:w="140"/>
              <w:right w:type="dxa" w:w="200"/>
            </w:tcMar>
          </w:tcPr>
          <w:p>
            <w:r>
              <w:rPr>
                <w:rFonts w:ascii="Open Sans" w:cs="Open Sans" w:eastAsia="Open Sans" w:hAnsi="Open Sans"/>
                <w:sz w:val="26"/>
                <w:szCs w:val="26"/>
              </w:rPr>
              <w:t xml:space="preserve">📄  </w:t>
            </w:r>
            <w:r>
              <w:rPr>
                <w:rFonts w:ascii="Comfortaa" w:cs="Comfortaa" w:eastAsia="Comfortaa" w:hAnsi="Comfortaa"/>
                <w:b/>
                <w:bCs/>
                <w:color w:val="1A1A1A"/>
                <w:sz w:val="26"/>
                <w:szCs w:val="26"/>
              </w:rPr>
              <w:t xml:space="preserve">Bandi AI - Compilazione Automatica</w:t>
            </w:r>
          </w:p>
        </w:tc>
      </w:tr>
      <w:tr>
        <w:tc>
          <w:tcPr>
            <w:tcW w:type="dxa" w:w="9360"/>
            <w:tcBorders>
              <w:top w:val="none" w:color="FFFFFF" w:sz="0"/>
              <w:left w:val="none" w:color="FFFFFF" w:sz="0"/>
              <w:bottom w:val="single" w:color="E0E0E0" w:sz="1"/>
              <w:right w:val="none" w:color="FFFFFF" w:sz="0"/>
            </w:tcBorders>
            <w:tcMar>
              <w:top w:type="dxa" w:w="120"/>
              <w:left w:type="dxa" w:w="200"/>
              <w:bottom w:type="dxa" w:w="160"/>
              <w:right w:type="dxa" w:w="200"/>
            </w:tcMar>
          </w:tcPr>
          <w:p>
            <w:pPr>
              <w:spacing w:after="120"/>
            </w:pPr>
            <w:r>
              <w:rPr>
                <w:rFonts w:ascii="Open Sans" w:cs="Open Sans" w:eastAsia="Open Sans" w:hAnsi="Open Sans"/>
                <w:color w:val="333333"/>
                <w:sz w:val="22"/>
                <w:szCs w:val="22"/>
              </w:rPr>
              <w:t xml:space="preserve">L'AI analizza i PDF dei bandi importati da Presidia e compila automaticamente tutti i campi: stazione appaltante, importo, categorie SOA (principale, scorporabile, subappaltabile), scadenze, criteri di aggiudicazione e requisiti di partecipazione.</w:t>
            </w:r>
          </w:p>
          <w:p>
            <w:pPr>
              <w:spacing w:after="60"/>
            </w:pPr>
            <w:r>
              <w:rPr>
                <w:rFonts w:ascii="Open Sans" w:cs="Open Sans" w:eastAsia="Open Sans" w:hAnsi="Open Sans"/>
                <w:b/>
                <w:bCs/>
                <w:color w:val="FF8C00"/>
                <w:sz w:val="20"/>
                <w:szCs w:val="20"/>
              </w:rPr>
              <w:t xml:space="preserve">Input: </w:t>
            </w:r>
            <w:r>
              <w:rPr>
                <w:rFonts w:ascii="Open Sans" w:cs="Open Sans" w:eastAsia="Open Sans" w:hAnsi="Open Sans"/>
                <w:color w:val="666666"/>
                <w:sz w:val="20"/>
                <w:szCs w:val="20"/>
              </w:rPr>
              <w:t xml:space="preserve">PDF bando da Presidia web service</w:t>
            </w:r>
          </w:p>
          <w:p>
            <w:pPr>
              <w:spacing w:after="60"/>
            </w:pPr>
            <w:r>
              <w:rPr>
                <w:rFonts w:ascii="Open Sans" w:cs="Open Sans" w:eastAsia="Open Sans" w:hAnsi="Open Sans"/>
                <w:b/>
                <w:bCs/>
                <w:color w:val="FF8C00"/>
                <w:sz w:val="20"/>
                <w:szCs w:val="20"/>
              </w:rPr>
              <w:t xml:space="preserve">AI Engine: </w:t>
            </w:r>
            <w:r>
              <w:rPr>
                <w:rFonts w:ascii="Open Sans" w:cs="Open Sans" w:eastAsia="Open Sans" w:hAnsi="Open Sans"/>
                <w:color w:val="666666"/>
                <w:sz w:val="20"/>
                <w:szCs w:val="20"/>
              </w:rPr>
              <w:t xml:space="preserve">Claude API - Document Analysis</w:t>
            </w:r>
          </w:p>
          <w:p>
            <w:pPr>
              <w:spacing w:after="60"/>
            </w:pPr>
            <w:r>
              <w:rPr>
                <w:rFonts w:ascii="Open Sans" w:cs="Open Sans" w:eastAsia="Open Sans" w:hAnsi="Open Sans"/>
                <w:b/>
                <w:bCs/>
                <w:color w:val="FF8C00"/>
                <w:sz w:val="20"/>
                <w:szCs w:val="20"/>
              </w:rPr>
              <w:t xml:space="preserve">Output: </w:t>
            </w:r>
            <w:r>
              <w:rPr>
                <w:rFonts w:ascii="Open Sans" w:cs="Open Sans" w:eastAsia="Open Sans" w:hAnsi="Open Sans"/>
                <w:color w:val="666666"/>
                <w:sz w:val="20"/>
                <w:szCs w:val="20"/>
              </w:rPr>
              <w:t xml:space="preserve">Campi bando compilati + confidence score</w:t>
            </w:r>
          </w:p>
          <w:p>
            <w:pPr>
              <w:spacing w:after="60"/>
            </w:pPr>
            <w:r>
              <w:rPr>
                <w:rFonts w:ascii="Open Sans" w:cs="Open Sans" w:eastAsia="Open Sans" w:hAnsi="Open Sans"/>
                <w:b/>
                <w:bCs/>
                <w:color w:val="FF8C00"/>
                <w:sz w:val="20"/>
                <w:szCs w:val="20"/>
              </w:rPr>
              <w:t xml:space="preserve">Validazione: </w:t>
            </w:r>
            <w:r>
              <w:rPr>
                <w:rFonts w:ascii="Open Sans" w:cs="Open Sans" w:eastAsia="Open Sans" w:hAnsi="Open Sans"/>
                <w:color w:val="666666"/>
                <w:sz w:val="20"/>
                <w:szCs w:val="20"/>
              </w:rPr>
              <w:t xml:space="preserve">Review manuale con evidenziazione campi incerti</w:t>
            </w:r>
          </w:p>
        </w:tc>
      </w:tr>
    </w:tbl>
    <w:p>
      <w:pPr>
        <w:spacing w:after="300"/>
      </w:pPr>
    </w:p>
    <w:p>
      <w:pPr>
        <w:pStyle w:val="Heading2"/>
        <w:spacing w:before="300" w:after="200"/>
      </w:pPr>
      <w:r>
        <w:t xml:space="preserve">3.2 Esiti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6"/>
              <w:left w:val="none" w:color="FFFFFF" w:sz="0"/>
              <w:bottom w:val="none" w:color="FFFFFF" w:sz="0"/>
              <w:right w:val="none" w:color="FFFFFF" w:sz="0"/>
            </w:tcBorders>
            <w:shd w:fill="FFF3E0" w:val="clear"/>
            <w:tcMar>
              <w:top w:type="dxa" w:w="140"/>
              <w:left w:type="dxa" w:w="200"/>
              <w:bottom w:type="dxa" w:w="140"/>
              <w:right w:type="dxa" w:w="200"/>
            </w:tcMar>
          </w:tcPr>
          <w:p>
            <w:r>
              <w:rPr>
                <w:rFonts w:ascii="Open Sans" w:cs="Open Sans" w:eastAsia="Open Sans" w:hAnsi="Open Sans"/>
                <w:sz w:val="26"/>
                <w:szCs w:val="26"/>
              </w:rPr>
              <w:t xml:space="preserve">🏆  </w:t>
            </w:r>
            <w:r>
              <w:rPr>
                <w:rFonts w:ascii="Comfortaa" w:cs="Comfortaa" w:eastAsia="Comfortaa" w:hAnsi="Comfortaa"/>
                <w:b/>
                <w:bCs/>
                <w:color w:val="1A1A1A"/>
                <w:sz w:val="26"/>
                <w:szCs w:val="26"/>
              </w:rPr>
              <w:t xml:space="preserve">Esiti AI - Analisi Graduatorie</w:t>
            </w:r>
          </w:p>
        </w:tc>
      </w:tr>
      <w:tr>
        <w:tc>
          <w:tcPr>
            <w:tcW w:type="dxa" w:w="9360"/>
            <w:tcBorders>
              <w:top w:val="none" w:color="FFFFFF" w:sz="0"/>
              <w:left w:val="none" w:color="FFFFFF" w:sz="0"/>
              <w:bottom w:val="single" w:color="E0E0E0" w:sz="1"/>
              <w:right w:val="none" w:color="FFFFFF" w:sz="0"/>
            </w:tcBorders>
            <w:tcMar>
              <w:top w:type="dxa" w:w="120"/>
              <w:left w:type="dxa" w:w="200"/>
              <w:bottom w:type="dxa" w:w="160"/>
              <w:right w:type="dxa" w:w="200"/>
            </w:tcMar>
          </w:tcPr>
          <w:p>
            <w:pPr>
              <w:spacing w:after="120"/>
            </w:pPr>
            <w:r>
              <w:rPr>
                <w:rFonts w:ascii="Open Sans" w:cs="Open Sans" w:eastAsia="Open Sans" w:hAnsi="Open Sans"/>
                <w:color w:val="333333"/>
                <w:sz w:val="22"/>
                <w:szCs w:val="22"/>
              </w:rPr>
              <w:t xml:space="preserve">Analisi automatica degli esiti di gara in formato PDF o immagine. L'AI estrae la graduatoria completa, identifica le aziende per P.IVA o ragione sociale e le incrocia con il database easyWin. Gestione intelligente di aziende non presenti nel DB e CIG non trovati (procedure negoziate).</w:t>
            </w:r>
          </w:p>
          <w:p>
            <w:pPr>
              <w:spacing w:after="60"/>
            </w:pPr>
            <w:r>
              <w:rPr>
                <w:rFonts w:ascii="Open Sans" w:cs="Open Sans" w:eastAsia="Open Sans" w:hAnsi="Open Sans"/>
                <w:b/>
                <w:bCs/>
                <w:color w:val="FF8C00"/>
                <w:sz w:val="20"/>
                <w:szCs w:val="20"/>
              </w:rPr>
              <w:t xml:space="preserve">Input: </w:t>
            </w:r>
            <w:r>
              <w:rPr>
                <w:rFonts w:ascii="Open Sans" w:cs="Open Sans" w:eastAsia="Open Sans" w:hAnsi="Open Sans"/>
                <w:color w:val="666666"/>
                <w:sz w:val="20"/>
                <w:szCs w:val="20"/>
              </w:rPr>
              <w:t xml:space="preserve">PDF/Immagine esito di gara</w:t>
            </w:r>
          </w:p>
          <w:p>
            <w:pPr>
              <w:spacing w:after="60"/>
            </w:pPr>
            <w:r>
              <w:rPr>
                <w:rFonts w:ascii="Open Sans" w:cs="Open Sans" w:eastAsia="Open Sans" w:hAnsi="Open Sans"/>
                <w:b/>
                <w:bCs/>
                <w:color w:val="FF8C00"/>
                <w:sz w:val="20"/>
                <w:szCs w:val="20"/>
              </w:rPr>
              <w:t xml:space="preserve">AI Engine: </w:t>
            </w:r>
            <w:r>
              <w:rPr>
                <w:rFonts w:ascii="Open Sans" w:cs="Open Sans" w:eastAsia="Open Sans" w:hAnsi="Open Sans"/>
                <w:color w:val="666666"/>
                <w:sz w:val="20"/>
                <w:szCs w:val="20"/>
              </w:rPr>
              <w:t xml:space="preserve">Claude API - OCR + Table Extraction</w:t>
            </w:r>
          </w:p>
          <w:p>
            <w:pPr>
              <w:spacing w:after="60"/>
            </w:pPr>
            <w:r>
              <w:rPr>
                <w:rFonts w:ascii="Open Sans" w:cs="Open Sans" w:eastAsia="Open Sans" w:hAnsi="Open Sans"/>
                <w:b/>
                <w:bCs/>
                <w:color w:val="FF8C00"/>
                <w:sz w:val="20"/>
                <w:szCs w:val="20"/>
              </w:rPr>
              <w:t xml:space="preserve">Matching: </w:t>
            </w:r>
            <w:r>
              <w:rPr>
                <w:rFonts w:ascii="Open Sans" w:cs="Open Sans" w:eastAsia="Open Sans" w:hAnsi="Open Sans"/>
                <w:color w:val="666666"/>
                <w:sz w:val="20"/>
                <w:szCs w:val="20"/>
              </w:rPr>
              <w:t xml:space="preserve">Cross-reference per P.IVA e ragione sociale su DB Aziende</w:t>
            </w:r>
          </w:p>
          <w:p>
            <w:pPr>
              <w:spacing w:after="60"/>
            </w:pPr>
            <w:r>
              <w:rPr>
                <w:rFonts w:ascii="Open Sans" w:cs="Open Sans" w:eastAsia="Open Sans" w:hAnsi="Open Sans"/>
                <w:b/>
                <w:bCs/>
                <w:color w:val="FF8C00"/>
                <w:sz w:val="20"/>
                <w:szCs w:val="20"/>
              </w:rPr>
              <w:t xml:space="preserve">Eccezioni: </w:t>
            </w:r>
            <w:r>
              <w:rPr>
                <w:rFonts w:ascii="Open Sans" w:cs="Open Sans" w:eastAsia="Open Sans" w:hAnsi="Open Sans"/>
                <w:color w:val="666666"/>
                <w:sz w:val="20"/>
                <w:szCs w:val="20"/>
              </w:rPr>
              <w:t xml:space="preserve">Azienda non trovata: crea record o segnala | CIG non trovato: esito standalone</w:t>
            </w:r>
          </w:p>
        </w:tc>
      </w:tr>
    </w:tbl>
    <w:p>
      <w:pPr>
        <w:spacing w:after="300"/>
      </w:pPr>
    </w:p>
    <w:p>
      <w:pPr>
        <w:pStyle w:val="Heading2"/>
        <w:spacing w:before="300" w:after="200"/>
      </w:pPr>
      <w:r>
        <w:t xml:space="preserve">3.3 Simulazioni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6"/>
              <w:left w:val="none" w:color="FFFFFF" w:sz="0"/>
              <w:bottom w:val="none" w:color="FFFFFF" w:sz="0"/>
              <w:right w:val="none" w:color="FFFFFF" w:sz="0"/>
            </w:tcBorders>
            <w:shd w:fill="FFF3E0" w:val="clear"/>
            <w:tcMar>
              <w:top w:type="dxa" w:w="140"/>
              <w:left w:type="dxa" w:w="200"/>
              <w:bottom w:type="dxa" w:w="140"/>
              <w:right w:type="dxa" w:w="200"/>
            </w:tcMar>
          </w:tcPr>
          <w:p>
            <w:r>
              <w:rPr>
                <w:rFonts w:ascii="Open Sans" w:cs="Open Sans" w:eastAsia="Open Sans" w:hAnsi="Open Sans"/>
                <w:sz w:val="26"/>
                <w:szCs w:val="26"/>
              </w:rPr>
              <w:t xml:space="preserve">🧮  </w:t>
            </w:r>
            <w:r>
              <w:rPr>
                <w:rFonts w:ascii="Comfortaa" w:cs="Comfortaa" w:eastAsia="Comfortaa" w:hAnsi="Comfortaa"/>
                <w:b/>
                <w:bCs/>
                <w:color w:val="1A1A1A"/>
                <w:sz w:val="26"/>
                <w:szCs w:val="26"/>
              </w:rPr>
              <w:t xml:space="preserve">Simulazioni AI - Calcolo Varianti</w:t>
            </w:r>
          </w:p>
        </w:tc>
      </w:tr>
      <w:tr>
        <w:tc>
          <w:tcPr>
            <w:tcW w:type="dxa" w:w="9360"/>
            <w:tcBorders>
              <w:top w:val="none" w:color="FFFFFF" w:sz="0"/>
              <w:left w:val="none" w:color="FFFFFF" w:sz="0"/>
              <w:bottom w:val="single" w:color="E0E0E0" w:sz="1"/>
              <w:right w:val="none" w:color="FFFFFF" w:sz="0"/>
            </w:tcBorders>
            <w:tcMar>
              <w:top w:type="dxa" w:w="120"/>
              <w:left w:type="dxa" w:w="200"/>
              <w:bottom w:type="dxa" w:w="160"/>
              <w:right w:type="dxa" w:w="200"/>
            </w:tcMar>
          </w:tcPr>
          <w:p>
            <w:pPr>
              <w:spacing w:after="120"/>
            </w:pPr>
            <w:r>
              <w:rPr>
                <w:rFonts w:ascii="Open Sans" w:cs="Open Sans" w:eastAsia="Open Sans" w:hAnsi="Open Sans"/>
                <w:color w:val="333333"/>
                <w:sz w:val="22"/>
                <w:szCs w:val="22"/>
              </w:rPr>
              <w:t xml:space="preserve">Sostituzione completa del sistema manuale di varianti BASE e A-E con calcoli AI. Zero errori garantiti, con spiegazione dettagliata di ogni passaggio del conteggio. Supporto per tutti i criteri di aggiudicazione: prezzo più basso, OEPV, Sblocca Cantieri.</w:t>
            </w:r>
          </w:p>
          <w:p>
            <w:pPr>
              <w:spacing w:after="60"/>
            </w:pPr>
            <w:r>
              <w:rPr>
                <w:rFonts w:ascii="Open Sans" w:cs="Open Sans" w:eastAsia="Open Sans" w:hAnsi="Open Sans"/>
                <w:b/>
                <w:bCs/>
                <w:color w:val="FF8C00"/>
                <w:sz w:val="20"/>
                <w:szCs w:val="20"/>
              </w:rPr>
              <w:t xml:space="preserve">Varianti: </w:t>
            </w:r>
            <w:r>
              <w:rPr>
                <w:rFonts w:ascii="Open Sans" w:cs="Open Sans" w:eastAsia="Open Sans" w:hAnsi="Open Sans"/>
                <w:color w:val="666666"/>
                <w:sz w:val="20"/>
                <w:szCs w:val="20"/>
              </w:rPr>
              <w:t xml:space="preserve">BASE, A, B, C, D, E - calcolo automatico</w:t>
            </w:r>
          </w:p>
          <w:p>
            <w:pPr>
              <w:spacing w:after="60"/>
            </w:pPr>
            <w:r>
              <w:rPr>
                <w:rFonts w:ascii="Open Sans" w:cs="Open Sans" w:eastAsia="Open Sans" w:hAnsi="Open Sans"/>
                <w:b/>
                <w:bCs/>
                <w:color w:val="FF8C00"/>
                <w:sz w:val="20"/>
                <w:szCs w:val="20"/>
              </w:rPr>
              <w:t xml:space="preserve">Criteri: </w:t>
            </w:r>
            <w:r>
              <w:rPr>
                <w:rFonts w:ascii="Open Sans" w:cs="Open Sans" w:eastAsia="Open Sans" w:hAnsi="Open Sans"/>
                <w:color w:val="666666"/>
                <w:sz w:val="20"/>
                <w:szCs w:val="20"/>
              </w:rPr>
              <w:t xml:space="preserve">SogliaAn, MediaAr, MediaSc, Sblocca Cantieri</w:t>
            </w:r>
          </w:p>
          <w:p>
            <w:pPr>
              <w:spacing w:after="60"/>
            </w:pPr>
            <w:r>
              <w:rPr>
                <w:rFonts w:ascii="Open Sans" w:cs="Open Sans" w:eastAsia="Open Sans" w:hAnsi="Open Sans"/>
                <w:b/>
                <w:bCs/>
                <w:color w:val="FF8C00"/>
                <w:sz w:val="20"/>
                <w:szCs w:val="20"/>
              </w:rPr>
              <w:t xml:space="preserve">Output: </w:t>
            </w:r>
            <w:r>
              <w:rPr>
                <w:rFonts w:ascii="Open Sans" w:cs="Open Sans" w:eastAsia="Open Sans" w:hAnsi="Open Sans"/>
                <w:color w:val="666666"/>
                <w:sz w:val="20"/>
                <w:szCs w:val="20"/>
              </w:rPr>
              <w:t xml:space="preserve">Tabella risultati + spiegazione AI step-by-step</w:t>
            </w:r>
          </w:p>
          <w:p>
            <w:pPr>
              <w:spacing w:after="60"/>
            </w:pPr>
            <w:r>
              <w:rPr>
                <w:rFonts w:ascii="Open Sans" w:cs="Open Sans" w:eastAsia="Open Sans" w:hAnsi="Open Sans"/>
                <w:b/>
                <w:bCs/>
                <w:color w:val="FF8C00"/>
                <w:sz w:val="20"/>
                <w:szCs w:val="20"/>
              </w:rPr>
              <w:t xml:space="preserve">Precisione: </w:t>
            </w:r>
            <w:r>
              <w:rPr>
                <w:rFonts w:ascii="Open Sans" w:cs="Open Sans" w:eastAsia="Open Sans" w:hAnsi="Open Sans"/>
                <w:color w:val="666666"/>
                <w:sz w:val="20"/>
                <w:szCs w:val="20"/>
              </w:rPr>
              <w:t xml:space="preserve">Eliminazione errori umani di calcolo</w:t>
            </w:r>
          </w:p>
        </w:tc>
      </w:tr>
    </w:tbl>
    <w:p>
      <w:pPr>
        <w:spacing w:after="300"/>
      </w:pPr>
    </w:p>
    <w:p>
      <w:pPr>
        <w:pStyle w:val="Heading2"/>
        <w:spacing w:before="300" w:after="200"/>
      </w:pPr>
      <w:r>
        <w:t xml:space="preserve">3.4 Range Statistico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6"/>
              <w:left w:val="none" w:color="FFFFFF" w:sz="0"/>
              <w:bottom w:val="none" w:color="FFFFFF" w:sz="0"/>
              <w:right w:val="none" w:color="FFFFFF" w:sz="0"/>
            </w:tcBorders>
            <w:shd w:fill="FFF3E0" w:val="clear"/>
            <w:tcMar>
              <w:top w:type="dxa" w:w="140"/>
              <w:left w:type="dxa" w:w="200"/>
              <w:bottom w:type="dxa" w:w="140"/>
              <w:right w:type="dxa" w:w="200"/>
            </w:tcMar>
          </w:tcPr>
          <w:p>
            <w:r>
              <w:rPr>
                <w:rFonts w:ascii="Open Sans" w:cs="Open Sans" w:eastAsia="Open Sans" w:hAnsi="Open Sans"/>
                <w:sz w:val="26"/>
                <w:szCs w:val="26"/>
              </w:rPr>
              <w:t xml:space="preserve">🎯  </w:t>
            </w:r>
            <w:r>
              <w:rPr>
                <w:rFonts w:ascii="Comfortaa" w:cs="Comfortaa" w:eastAsia="Comfortaa" w:hAnsi="Comfortaa"/>
                <w:b/>
                <w:bCs/>
                <w:color w:val="1A1A1A"/>
                <w:sz w:val="26"/>
                <w:szCs w:val="26"/>
              </w:rPr>
              <w:t xml:space="preserve">Range Statistico - Probabilità di Vittoria</w:t>
            </w:r>
          </w:p>
        </w:tc>
      </w:tr>
      <w:tr>
        <w:tc>
          <w:tcPr>
            <w:tcW w:type="dxa" w:w="9360"/>
            <w:tcBorders>
              <w:top w:val="none" w:color="FFFFFF" w:sz="0"/>
              <w:left w:val="none" w:color="FFFFFF" w:sz="0"/>
              <w:bottom w:val="single" w:color="E0E0E0" w:sz="1"/>
              <w:right w:val="none" w:color="FFFFFF" w:sz="0"/>
            </w:tcBorders>
            <w:tcMar>
              <w:top w:type="dxa" w:w="120"/>
              <w:left w:type="dxa" w:w="200"/>
              <w:bottom w:type="dxa" w:w="160"/>
              <w:right w:type="dxa" w:w="200"/>
            </w:tcMar>
          </w:tcPr>
          <w:p>
            <w:pPr>
              <w:spacing w:after="120"/>
            </w:pPr>
            <w:r>
              <w:rPr>
                <w:rFonts w:ascii="Open Sans" w:cs="Open Sans" w:eastAsia="Open Sans" w:hAnsi="Open Sans"/>
                <w:color w:val="333333"/>
                <w:sz w:val="22"/>
                <w:szCs w:val="22"/>
              </w:rPr>
              <w:t xml:space="preserve">Calcolo del range di massima probabilità di aggiudicazione basato sull'analisi statistica di migliaia di esiti storici. Filtri avanzati per regione, stazione appaltante, categoria SOA, fascia di importo e criterio di aggiudicazione.</w:t>
            </w:r>
          </w:p>
          <w:p>
            <w:pPr>
              <w:spacing w:after="60"/>
            </w:pPr>
            <w:r>
              <w:rPr>
                <w:rFonts w:ascii="Open Sans" w:cs="Open Sans" w:eastAsia="Open Sans" w:hAnsi="Open Sans"/>
                <w:b/>
                <w:bCs/>
                <w:color w:val="FF8C00"/>
                <w:sz w:val="20"/>
                <w:szCs w:val="20"/>
              </w:rPr>
              <w:t xml:space="preserve">Database: </w:t>
            </w:r>
            <w:r>
              <w:rPr>
                <w:rFonts w:ascii="Open Sans" w:cs="Open Sans" w:eastAsia="Open Sans" w:hAnsi="Open Sans"/>
                <w:color w:val="666666"/>
                <w:sz w:val="20"/>
                <w:szCs w:val="20"/>
              </w:rPr>
              <w:t xml:space="preserve">25 anni di esiti storici digitalizzati</w:t>
            </w:r>
          </w:p>
          <w:p>
            <w:pPr>
              <w:spacing w:after="60"/>
            </w:pPr>
            <w:r>
              <w:rPr>
                <w:rFonts w:ascii="Open Sans" w:cs="Open Sans" w:eastAsia="Open Sans" w:hAnsi="Open Sans"/>
                <w:b/>
                <w:bCs/>
                <w:color w:val="FF8C00"/>
                <w:sz w:val="20"/>
                <w:szCs w:val="20"/>
              </w:rPr>
              <w:t xml:space="preserve">Filtri: </w:t>
            </w:r>
            <w:r>
              <w:rPr>
                <w:rFonts w:ascii="Open Sans" w:cs="Open Sans" w:eastAsia="Open Sans" w:hAnsi="Open Sans"/>
                <w:color w:val="666666"/>
                <w:sz w:val="20"/>
                <w:szCs w:val="20"/>
              </w:rPr>
              <w:t xml:space="preserve">Regione, Stazione, SOA, Importo, Criterio</w:t>
            </w:r>
          </w:p>
          <w:p>
            <w:pPr>
              <w:spacing w:after="60"/>
            </w:pPr>
            <w:r>
              <w:rPr>
                <w:rFonts w:ascii="Open Sans" w:cs="Open Sans" w:eastAsia="Open Sans" w:hAnsi="Open Sans"/>
                <w:b/>
                <w:bCs/>
                <w:color w:val="FF8C00"/>
                <w:sz w:val="20"/>
                <w:szCs w:val="20"/>
              </w:rPr>
              <w:t xml:space="preserve">Output: </w:t>
            </w:r>
            <w:r>
              <w:rPr>
                <w:rFonts w:ascii="Open Sans" w:cs="Open Sans" w:eastAsia="Open Sans" w:hAnsi="Open Sans"/>
                <w:color w:val="666666"/>
                <w:sz w:val="20"/>
                <w:szCs w:val="20"/>
              </w:rPr>
              <w:t xml:space="preserve">Range percentuale + visualizzazione grafica</w:t>
            </w:r>
          </w:p>
          <w:p>
            <w:pPr>
              <w:spacing w:after="60"/>
            </w:pPr>
            <w:r>
              <w:rPr>
                <w:rFonts w:ascii="Open Sans" w:cs="Open Sans" w:eastAsia="Open Sans" w:hAnsi="Open Sans"/>
                <w:b/>
                <w:bCs/>
                <w:color w:val="FF8C00"/>
                <w:sz w:val="20"/>
                <w:szCs w:val="20"/>
              </w:rPr>
              <w:t xml:space="preserve">AI Insight: </w:t>
            </w:r>
            <w:r>
              <w:rPr>
                <w:rFonts w:ascii="Open Sans" w:cs="Open Sans" w:eastAsia="Open Sans" w:hAnsi="Open Sans"/>
                <w:color w:val="666666"/>
                <w:sz w:val="20"/>
                <w:szCs w:val="20"/>
              </w:rPr>
              <w:t xml:space="preserve">Analisi tendenze e raccomandazioni</w:t>
            </w:r>
          </w:p>
        </w:tc>
      </w:tr>
    </w:tbl>
    <w:p>
      <w:pPr>
        <w:spacing w:after="300"/>
      </w:pPr>
    </w:p>
    <w:p>
      <w:pPr>
        <w:pStyle w:val="Heading2"/>
        <w:spacing w:before="300" w:after="200"/>
      </w:pPr>
      <w:r>
        <w:t xml:space="preserve">3.5 Sopralluoghi Interattivi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6"/>
              <w:left w:val="none" w:color="FFFFFF" w:sz="0"/>
              <w:bottom w:val="none" w:color="FFFFFF" w:sz="0"/>
              <w:right w:val="none" w:color="FFFFFF" w:sz="0"/>
            </w:tcBorders>
            <w:shd w:fill="FFF3E0" w:val="clear"/>
            <w:tcMar>
              <w:top w:type="dxa" w:w="140"/>
              <w:left w:type="dxa" w:w="200"/>
              <w:bottom w:type="dxa" w:w="140"/>
              <w:right w:type="dxa" w:w="200"/>
            </w:tcMar>
          </w:tcPr>
          <w:p>
            <w:r>
              <w:rPr>
                <w:rFonts w:ascii="Open Sans" w:cs="Open Sans" w:eastAsia="Open Sans" w:hAnsi="Open Sans"/>
                <w:sz w:val="26"/>
                <w:szCs w:val="26"/>
              </w:rPr>
              <w:t xml:space="preserve">🗺️  </w:t>
            </w:r>
            <w:r>
              <w:rPr>
                <w:rFonts w:ascii="Comfortaa" w:cs="Comfortaa" w:eastAsia="Comfortaa" w:hAnsi="Comfortaa"/>
                <w:b/>
                <w:bCs/>
                <w:color w:val="1A1A1A"/>
                <w:sz w:val="26"/>
                <w:szCs w:val="26"/>
              </w:rPr>
              <w:t xml:space="preserve">Mappa Sopralluoghi</w:t>
            </w:r>
          </w:p>
        </w:tc>
      </w:tr>
      <w:tr>
        <w:tc>
          <w:tcPr>
            <w:tcW w:type="dxa" w:w="9360"/>
            <w:tcBorders>
              <w:top w:val="none" w:color="FFFFFF" w:sz="0"/>
              <w:left w:val="none" w:color="FFFFFF" w:sz="0"/>
              <w:bottom w:val="single" w:color="E0E0E0" w:sz="1"/>
              <w:right w:val="none" w:color="FFFFFF" w:sz="0"/>
            </w:tcBorders>
            <w:tcMar>
              <w:top w:type="dxa" w:w="120"/>
              <w:left w:type="dxa" w:w="200"/>
              <w:bottom w:type="dxa" w:w="160"/>
              <w:right w:type="dxa" w:w="200"/>
            </w:tcMar>
          </w:tcPr>
          <w:p>
            <w:pPr>
              <w:spacing w:after="120"/>
            </w:pPr>
            <w:r>
              <w:rPr>
                <w:rFonts w:ascii="Open Sans" w:cs="Open Sans" w:eastAsia="Open Sans" w:hAnsi="Open Sans"/>
                <w:color w:val="333333"/>
                <w:sz w:val="22"/>
                <w:szCs w:val="22"/>
              </w:rPr>
              <w:t xml:space="preserve">Mappa interattiva che visualizza tutti i sopralluoghi obbligatori collegati ai bandi attivi. Ogni pin mostra dettagli del bando, date disponibili e permette la richiesta diretta di preventivo per il servizio di sopralluogo easyWin.</w:t>
            </w:r>
          </w:p>
          <w:p>
            <w:pPr>
              <w:spacing w:after="60"/>
            </w:pPr>
            <w:r>
              <w:rPr>
                <w:rFonts w:ascii="Open Sans" w:cs="Open Sans" w:eastAsia="Open Sans" w:hAnsi="Open Sans"/>
                <w:b/>
                <w:bCs/>
                <w:color w:val="FF8C00"/>
                <w:sz w:val="20"/>
                <w:szCs w:val="20"/>
              </w:rPr>
              <w:t xml:space="preserve">Tecnologia: </w:t>
            </w:r>
            <w:r>
              <w:rPr>
                <w:rFonts w:ascii="Open Sans" w:cs="Open Sans" w:eastAsia="Open Sans" w:hAnsi="Open Sans"/>
                <w:color w:val="666666"/>
                <w:sz w:val="20"/>
                <w:szCs w:val="20"/>
              </w:rPr>
              <w:t xml:space="preserve">Leaflet / Mapbox con clustering</w:t>
            </w:r>
          </w:p>
          <w:p>
            <w:pPr>
              <w:spacing w:after="60"/>
            </w:pPr>
            <w:r>
              <w:rPr>
                <w:rFonts w:ascii="Open Sans" w:cs="Open Sans" w:eastAsia="Open Sans" w:hAnsi="Open Sans"/>
                <w:b/>
                <w:bCs/>
                <w:color w:val="FF8C00"/>
                <w:sz w:val="20"/>
                <w:szCs w:val="20"/>
              </w:rPr>
              <w:t xml:space="preserve">Dati: </w:t>
            </w:r>
            <w:r>
              <w:rPr>
                <w:rFonts w:ascii="Open Sans" w:cs="Open Sans" w:eastAsia="Open Sans" w:hAnsi="Open Sans"/>
                <w:color w:val="666666"/>
                <w:sz w:val="20"/>
                <w:szCs w:val="20"/>
              </w:rPr>
              <w:t xml:space="preserve">Collegamento automatico Bando-Sopralluogo</w:t>
            </w:r>
          </w:p>
          <w:p>
            <w:pPr>
              <w:spacing w:after="60"/>
            </w:pPr>
            <w:r>
              <w:rPr>
                <w:rFonts w:ascii="Open Sans" w:cs="Open Sans" w:eastAsia="Open Sans" w:hAnsi="Open Sans"/>
                <w:b/>
                <w:bCs/>
                <w:color w:val="FF8C00"/>
                <w:sz w:val="20"/>
                <w:szCs w:val="20"/>
              </w:rPr>
              <w:t xml:space="preserve">Interazione: </w:t>
            </w:r>
            <w:r>
              <w:rPr>
                <w:rFonts w:ascii="Open Sans" w:cs="Open Sans" w:eastAsia="Open Sans" w:hAnsi="Open Sans"/>
                <w:color w:val="666666"/>
                <w:sz w:val="20"/>
                <w:szCs w:val="20"/>
              </w:rPr>
              <w:t xml:space="preserve">Click pin per dettagli + slot disponibili</w:t>
            </w:r>
          </w:p>
          <w:p>
            <w:pPr>
              <w:spacing w:after="60"/>
            </w:pPr>
            <w:r>
              <w:rPr>
                <w:rFonts w:ascii="Open Sans" w:cs="Open Sans" w:eastAsia="Open Sans" w:hAnsi="Open Sans"/>
                <w:b/>
                <w:bCs/>
                <w:color w:val="FF8C00"/>
                <w:sz w:val="20"/>
                <w:szCs w:val="20"/>
              </w:rPr>
              <w:t xml:space="preserve">Conversione: </w:t>
            </w:r>
            <w:r>
              <w:rPr>
                <w:rFonts w:ascii="Open Sans" w:cs="Open Sans" w:eastAsia="Open Sans" w:hAnsi="Open Sans"/>
                <w:color w:val="666666"/>
                <w:sz w:val="20"/>
                <w:szCs w:val="20"/>
              </w:rPr>
              <w:t xml:space="preserve">Pulsante Richiedi Preventivo integrato</w:t>
            </w:r>
          </w:p>
        </w:tc>
      </w:tr>
    </w:tbl>
    <w:p>
      <w:pPr>
        <w:spacing w:after="300"/>
      </w:pPr>
    </w:p>
    <w:p>
      <w:pPr>
        <w:pStyle w:val="Heading2"/>
        <w:spacing w:before="300" w:after="200"/>
      </w:pPr>
      <w:r>
        <w:t xml:space="preserve">3.6 Albi Fornitori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6"/>
              <w:left w:val="none" w:color="FFFFFF" w:sz="0"/>
              <w:bottom w:val="none" w:color="FFFFFF" w:sz="0"/>
              <w:right w:val="none" w:color="FFFFFF" w:sz="0"/>
            </w:tcBorders>
            <w:shd w:fill="FFF3E0" w:val="clear"/>
            <w:tcMar>
              <w:top w:type="dxa" w:w="140"/>
              <w:left w:type="dxa" w:w="200"/>
              <w:bottom w:type="dxa" w:w="140"/>
              <w:right w:type="dxa" w:w="200"/>
            </w:tcMar>
          </w:tcPr>
          <w:p>
            <w:r>
              <w:rPr>
                <w:rFonts w:ascii="Open Sans" w:cs="Open Sans" w:eastAsia="Open Sans" w:hAnsi="Open Sans"/>
                <w:sz w:val="26"/>
                <w:szCs w:val="26"/>
              </w:rPr>
              <w:t xml:space="preserve">📋  </w:t>
            </w:r>
            <w:r>
              <w:rPr>
                <w:rFonts w:ascii="Comfortaa" w:cs="Comfortaa" w:eastAsia="Comfortaa" w:hAnsi="Comfortaa"/>
                <w:b/>
                <w:bCs/>
                <w:color w:val="1A1A1A"/>
                <w:sz w:val="26"/>
                <w:szCs w:val="26"/>
              </w:rPr>
              <w:t xml:space="preserve">Gestione Albi Fornitori</w:t>
            </w:r>
          </w:p>
        </w:tc>
      </w:tr>
      <w:tr>
        <w:tc>
          <w:tcPr>
            <w:tcW w:type="dxa" w:w="9360"/>
            <w:tcBorders>
              <w:top w:val="none" w:color="FFFFFF" w:sz="0"/>
              <w:left w:val="none" w:color="FFFFFF" w:sz="0"/>
              <w:bottom w:val="single" w:color="E0E0E0" w:sz="1"/>
              <w:right w:val="none" w:color="FFFFFF" w:sz="0"/>
            </w:tcBorders>
            <w:tcMar>
              <w:top w:type="dxa" w:w="120"/>
              <w:left w:type="dxa" w:w="200"/>
              <w:bottom w:type="dxa" w:w="160"/>
              <w:right w:type="dxa" w:w="200"/>
            </w:tcMar>
          </w:tcPr>
          <w:p>
            <w:pPr>
              <w:spacing w:after="120"/>
            </w:pPr>
            <w:r>
              <w:rPr>
                <w:rFonts w:ascii="Open Sans" w:cs="Open Sans" w:eastAsia="Open Sans" w:hAnsi="Open Sans"/>
                <w:color w:val="333333"/>
                <w:sz w:val="22"/>
                <w:szCs w:val="22"/>
              </w:rPr>
              <w:t xml:space="preserve">Pannello che mostra all'azienda lo stato di iscrizione presso ogni stazione appaltante, la documentazione necessaria e le istruzioni per la registrazione. Compilazione manuale con possibilità di richiedere il servizio completo a easyWin.</w:t>
            </w:r>
          </w:p>
          <w:p>
            <w:pPr>
              <w:spacing w:after="60"/>
            </w:pPr>
            <w:r>
              <w:rPr>
                <w:rFonts w:ascii="Open Sans" w:cs="Open Sans" w:eastAsia="Open Sans" w:hAnsi="Open Sans"/>
                <w:b/>
                <w:bCs/>
                <w:color w:val="FF8C00"/>
                <w:sz w:val="20"/>
                <w:szCs w:val="20"/>
              </w:rPr>
              <w:t xml:space="preserve">Verifica: </w:t>
            </w:r>
            <w:r>
              <w:rPr>
                <w:rFonts w:ascii="Open Sans" w:cs="Open Sans" w:eastAsia="Open Sans" w:hAnsi="Open Sans"/>
                <w:color w:val="666666"/>
                <w:sz w:val="20"/>
                <w:szCs w:val="20"/>
              </w:rPr>
              <w:t xml:space="preserve">Stato iscrizione per ogni stazione appaltante</w:t>
            </w:r>
          </w:p>
          <w:p>
            <w:pPr>
              <w:spacing w:after="60"/>
            </w:pPr>
            <w:r>
              <w:rPr>
                <w:rFonts w:ascii="Open Sans" w:cs="Open Sans" w:eastAsia="Open Sans" w:hAnsi="Open Sans"/>
                <w:b/>
                <w:bCs/>
                <w:color w:val="FF8C00"/>
                <w:sz w:val="20"/>
                <w:szCs w:val="20"/>
              </w:rPr>
              <w:t xml:space="preserve">Documentazione: </w:t>
            </w:r>
            <w:r>
              <w:rPr>
                <w:rFonts w:ascii="Open Sans" w:cs="Open Sans" w:eastAsia="Open Sans" w:hAnsi="Open Sans"/>
                <w:color w:val="666666"/>
                <w:sz w:val="20"/>
                <w:szCs w:val="20"/>
              </w:rPr>
              <w:t xml:space="preserve">Lista requisiti e documenti necessari</w:t>
            </w:r>
          </w:p>
          <w:p>
            <w:pPr>
              <w:spacing w:after="60"/>
            </w:pPr>
            <w:r>
              <w:rPr>
                <w:rFonts w:ascii="Open Sans" w:cs="Open Sans" w:eastAsia="Open Sans" w:hAnsi="Open Sans"/>
                <w:b/>
                <w:bCs/>
                <w:color w:val="FF8C00"/>
                <w:sz w:val="20"/>
                <w:szCs w:val="20"/>
              </w:rPr>
              <w:t xml:space="preserve">Compilazione: </w:t>
            </w:r>
            <w:r>
              <w:rPr>
                <w:rFonts w:ascii="Open Sans" w:cs="Open Sans" w:eastAsia="Open Sans" w:hAnsi="Open Sans"/>
                <w:color w:val="666666"/>
                <w:sz w:val="20"/>
                <w:szCs w:val="20"/>
              </w:rPr>
              <w:t xml:space="preserve">Manuale da parte dell'azienda</w:t>
            </w:r>
          </w:p>
          <w:p>
            <w:pPr>
              <w:spacing w:after="60"/>
            </w:pPr>
            <w:r>
              <w:rPr>
                <w:rFonts w:ascii="Open Sans" w:cs="Open Sans" w:eastAsia="Open Sans" w:hAnsi="Open Sans"/>
                <w:b/>
                <w:bCs/>
                <w:color w:val="FF8C00"/>
                <w:sz w:val="20"/>
                <w:szCs w:val="20"/>
              </w:rPr>
              <w:t xml:space="preserve">Servizio: </w:t>
            </w:r>
            <w:r>
              <w:rPr>
                <w:rFonts w:ascii="Open Sans" w:cs="Open Sans" w:eastAsia="Open Sans" w:hAnsi="Open Sans"/>
                <w:color w:val="666666"/>
                <w:sz w:val="20"/>
                <w:szCs w:val="20"/>
              </w:rPr>
              <w:t xml:space="preserve">Pulsante Richiedi servizio a easyWin</w:t>
            </w:r>
          </w:p>
        </w:tc>
      </w:tr>
    </w:tbl>
    <w:p>
      <w:pPr>
        <w:spacing w:after="200"/>
      </w:pPr>
    </w:p>
    <w:p>
      <w:pPr>
        <w:pBdr>
          <w:bottom w:val="single" w:color="FF8C00" w:sz="4" w:space="8"/>
        </w:pBdr>
        <w:spacing w:before="200" w:after="200"/>
      </w:pPr>
    </w:p>
    <w:p>
      <w:pPr>
        <w:pStyle w:val="Heading1"/>
        <w:spacing w:before="300" w:after="200"/>
      </w:pPr>
      <w:r>
        <w:t xml:space="preserve">4. Migrazione Database</w:t>
      </w:r>
    </w:p>
    <w:p>
      <w:pPr>
        <w:spacing w:after="160"/>
      </w:pPr>
      <w:r>
        <w:rPr>
          <w:rFonts w:ascii="Open Sans" w:cs="Open Sans" w:eastAsia="Open Sans" w:hAnsi="Open Sans"/>
          <w:color w:val="333333"/>
          <w:sz w:val="22"/>
          <w:szCs w:val="22"/>
        </w:rPr>
        <w:t xml:space="preserve">La migrazione dal database SQL Server esistente (56 GB) a PostgreSQL avverrà in modo incrementale, modulo per modulo, garantendo zero perdita di dati e continuità operativa.</w:t>
      </w:r>
    </w:p>
    <w:p>
      <w:pPr>
        <w:spacing w:after="200"/>
      </w:pPr>
    </w:p>
    <w:p>
      <w:pPr>
        <w:pStyle w:val="Heading2"/>
        <w:spacing w:before="300" w:after="200"/>
      </w:pPr>
      <w:r>
        <w:t xml:space="preserve">4.1 Strategia di Migrazione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Fase</w:t>
            </w:r>
          </w:p>
        </w:tc>
        <w:tc>
          <w:tcPr>
            <w:tcW w:type="dxa" w:w="260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Modulo</w:t>
            </w:r>
          </w:p>
        </w:tc>
        <w:tc>
          <w:tcPr>
            <w:tcW w:type="dxa" w:w="280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Entità Principali</w:t>
            </w:r>
          </w:p>
        </w:tc>
        <w:tc>
          <w:tcPr>
            <w:tcW w:type="dxa" w:w="256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Stima Volume</w:t>
            </w:r>
          </w:p>
        </w:tc>
      </w:tr>
      <w:tr>
        <w:tc>
          <w:tcPr>
            <w:tcW w:type="dxa" w:w="14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1</w:t>
            </w:r>
          </w:p>
        </w:tc>
        <w:tc>
          <w:tcPr>
            <w:tcW w:type="dxa" w:w="26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Bandi</w:t>
            </w:r>
          </w:p>
        </w:tc>
        <w:tc>
          <w:tcPr>
            <w:tcW w:type="dxa" w:w="28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Bandi, AllegatiBando, AperturaBandi</w:t>
            </w:r>
          </w:p>
        </w:tc>
        <w:tc>
          <w:tcPr>
            <w:tcW w:type="dxa" w:w="256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~15 GB</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2</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Esiti</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Gare, Concorrenti, DettaglioGara, AtiGare</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~25 GB</w:t>
            </w:r>
          </w:p>
        </w:tc>
      </w:tr>
      <w:tr>
        <w:tc>
          <w:tcPr>
            <w:tcW w:type="dxa" w:w="14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3</w:t>
            </w:r>
          </w:p>
        </w:tc>
        <w:tc>
          <w:tcPr>
            <w:tcW w:type="dxa" w:w="26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Aziende</w:t>
            </w:r>
          </w:p>
        </w:tc>
        <w:tc>
          <w:tcPr>
            <w:tcW w:type="dxa" w:w="28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Azienda, Soa (multi-livello)</w:t>
            </w:r>
          </w:p>
        </w:tc>
        <w:tc>
          <w:tcPr>
            <w:tcW w:type="dxa" w:w="256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~5 GB</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4</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Stazioni</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Stazioni, Province</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~2 GB</w:t>
            </w:r>
          </w:p>
        </w:tc>
      </w:tr>
      <w:tr>
        <w:tc>
          <w:tcPr>
            <w:tcW w:type="dxa" w:w="14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5</w:t>
            </w:r>
          </w:p>
        </w:tc>
        <w:tc>
          <w:tcPr>
            <w:tcW w:type="dxa" w:w="26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Utenti</w:t>
            </w:r>
          </w:p>
        </w:tc>
        <w:tc>
          <w:tcPr>
            <w:tcW w:type="dxa" w:w="28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Utenti, Abbonamenti, Profili</w:t>
            </w:r>
          </w:p>
        </w:tc>
        <w:tc>
          <w:tcPr>
            <w:tcW w:type="dxa" w:w="256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~1 GB</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6</w:t>
            </w:r>
          </w:p>
        </w:tc>
        <w:tc>
          <w:tcPr>
            <w:tcW w:type="dxa" w:w="2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Log/Storico</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Log, GareRicorsi, Punteggi</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~8 GB</w:t>
            </w:r>
          </w:p>
        </w:tc>
      </w:tr>
    </w:tbl>
    <w:p>
      <w:pPr>
        <w:spacing w:after="200"/>
      </w:pPr>
    </w:p>
    <w:p>
      <w:pPr>
        <w:spacing w:after="160"/>
      </w:pPr>
      <w:r>
        <w:rPr>
          <w:rFonts w:ascii="Open Sans" w:cs="Open Sans" w:eastAsia="Open Sans" w:hAnsi="Open Sans"/>
          <w:color w:val="333333"/>
          <w:sz w:val="22"/>
          <w:szCs w:val="22"/>
        </w:rPr>
        <w:t xml:space="preserve">Ogni fase include: export da SQL Server, trasformazione schema, import in PostgreSQL, validazione integrità dati e test di regressione. Il sistema legacy resta operativo in parallelo fino al completamento della migrazione.</w:t>
      </w:r>
    </w:p>
    <w:p>
      <w:pPr>
        <w:pBdr>
          <w:bottom w:val="single" w:color="FF8C00" w:sz="4" w:space="8"/>
        </w:pBdr>
        <w:spacing w:before="200" w:after="200"/>
      </w:pPr>
    </w:p>
    <w:p>
      <w:pPr>
        <w:pStyle w:val="Heading1"/>
        <w:spacing w:before="300" w:after="200"/>
      </w:pPr>
      <w:r>
        <w:t xml:space="preserve">5. Design System</w:t>
      </w:r>
    </w:p>
    <w:p>
      <w:pPr>
        <w:spacing w:after="160"/>
      </w:pPr>
      <w:r>
        <w:rPr>
          <w:rFonts w:ascii="Open Sans" w:cs="Open Sans" w:eastAsia="Open Sans" w:hAnsi="Open Sans"/>
          <w:color w:val="333333"/>
          <w:sz w:val="22"/>
          <w:szCs w:val="22"/>
        </w:rPr>
        <w:t xml:space="preserve">Il nuovo sito mantiene l'identità visiva consolidata di easyWin, evolvendola con un design moderno ma familiare per i clienti esistenti.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C518" w:val="clear"/>
            <w:tcMar>
              <w:top w:type="dxa" w:w="100"/>
              <w:left w:type="dxa" w:w="140"/>
              <w:bottom w:type="dxa" w:w="100"/>
              <w:right w:type="dxa" w:w="140"/>
            </w:tcMar>
          </w:tcPr>
          <w:p>
            <w:pPr>
              <w:spacing w:after="60"/>
              <w:jc w:val="center"/>
            </w:pPr>
            <w:r>
              <w:rPr>
                <w:rFonts w:ascii="Open Sans" w:cs="Open Sans" w:eastAsia="Open Sans" w:hAnsi="Open Sans"/>
                <w:b/>
                <w:bCs/>
                <w:color w:val="1A1A1A"/>
                <w:sz w:val="22"/>
                <w:szCs w:val="22"/>
              </w:rPr>
              <w:t xml:space="preserve">Yellow</w:t>
            </w:r>
          </w:p>
          <w:p>
            <w:pPr>
              <w:jc w:val="center"/>
            </w:pPr>
            <w:r>
              <w:rPr>
                <w:rFonts w:ascii="Open Sans" w:cs="Open Sans" w:eastAsia="Open Sans" w:hAnsi="Open Sans"/>
                <w:color w:val="333333"/>
                <w:sz w:val="20"/>
                <w:szCs w:val="20"/>
              </w:rPr>
              <w:t xml:space="preserve">#F5C518</w:t>
            </w:r>
          </w:p>
        </w:tc>
        <w:tc>
          <w:tcPr>
            <w:tcW w:type="dxa" w:w="3120"/>
            <w:tcBorders>
              <w:top w:val="none" w:color="FFFFFF" w:sz="0"/>
              <w:left w:val="none" w:color="FFFFFF" w:sz="0"/>
              <w:bottom w:val="none" w:color="FFFFFF" w:sz="0"/>
              <w:right w:val="none" w:color="FFFFFF" w:sz="0"/>
            </w:tcBorders>
            <w:shd w:fill="FF8C00" w:val="clear"/>
            <w:tcMar>
              <w:top w:type="dxa" w:w="100"/>
              <w:left w:type="dxa" w:w="140"/>
              <w:bottom w:type="dxa" w:w="100"/>
              <w:right w:type="dxa" w:w="140"/>
            </w:tcMar>
          </w:tcPr>
          <w:p>
            <w:pPr>
              <w:spacing w:after="60"/>
              <w:jc w:val="center"/>
            </w:pPr>
            <w:r>
              <w:rPr>
                <w:rFonts w:ascii="Open Sans" w:cs="Open Sans" w:eastAsia="Open Sans" w:hAnsi="Open Sans"/>
                <w:b/>
                <w:bCs/>
                <w:color w:val="FFFFFF"/>
                <w:sz w:val="22"/>
                <w:szCs w:val="22"/>
              </w:rPr>
              <w:t xml:space="preserve">Orange</w:t>
            </w:r>
          </w:p>
          <w:p>
            <w:pPr>
              <w:jc w:val="center"/>
            </w:pPr>
            <w:r>
              <w:rPr>
                <w:rFonts w:ascii="Open Sans" w:cs="Open Sans" w:eastAsia="Open Sans" w:hAnsi="Open Sans"/>
                <w:color w:val="FFFFFF"/>
                <w:sz w:val="20"/>
                <w:szCs w:val="20"/>
              </w:rPr>
              <w:t xml:space="preserve">#FF8C00</w:t>
            </w:r>
          </w:p>
        </w:tc>
        <w:tc>
          <w:tcPr>
            <w:tcW w:type="dxa" w:w="312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spacing w:after="60"/>
              <w:jc w:val="center"/>
            </w:pPr>
            <w:r>
              <w:rPr>
                <w:rFonts w:ascii="Open Sans" w:cs="Open Sans" w:eastAsia="Open Sans" w:hAnsi="Open Sans"/>
                <w:b/>
                <w:bCs/>
                <w:color w:val="FFFFFF"/>
                <w:sz w:val="22"/>
                <w:szCs w:val="22"/>
              </w:rPr>
              <w:t xml:space="preserve">Dark</w:t>
            </w:r>
          </w:p>
          <w:p>
            <w:pPr>
              <w:jc w:val="center"/>
            </w:pPr>
            <w:r>
              <w:rPr>
                <w:rFonts w:ascii="Open Sans" w:cs="Open Sans" w:eastAsia="Open Sans" w:hAnsi="Open Sans"/>
                <w:color w:val="666666"/>
                <w:sz w:val="20"/>
                <w:szCs w:val="20"/>
              </w:rPr>
              <w:t xml:space="preserve">#1A1A1A</w:t>
            </w:r>
          </w:p>
        </w:tc>
      </w:tr>
    </w:tbl>
    <w:p>
      <w:pPr>
        <w:spacing w:after="200"/>
      </w:pPr>
    </w:p>
    <w:p>
      <w:pPr>
        <w:spacing w:after="160"/>
      </w:pPr>
      <w:r>
        <w:rPr>
          <w:rFonts w:ascii="Open Sans" w:cs="Open Sans" w:eastAsia="Open Sans" w:hAnsi="Open Sans"/>
          <w:b/>
          <w:bCs/>
          <w:color w:val="1A1A1A"/>
          <w:sz w:val="22"/>
          <w:szCs w:val="22"/>
        </w:rPr>
        <w:t xml:space="preserve">Font Heading: </w:t>
      </w:r>
      <w:r>
        <w:rPr>
          <w:rFonts w:ascii="Open Sans" w:cs="Open Sans" w:eastAsia="Open Sans" w:hAnsi="Open Sans"/>
          <w:color w:val="333333"/>
          <w:sz w:val="22"/>
          <w:szCs w:val="22"/>
        </w:rPr>
        <w:t xml:space="preserve">Comfortaa (wght 300-700)</w:t>
      </w:r>
    </w:p>
    <w:p>
      <w:pPr>
        <w:spacing w:after="160"/>
      </w:pPr>
      <w:r>
        <w:rPr>
          <w:rFonts w:ascii="Open Sans" w:cs="Open Sans" w:eastAsia="Open Sans" w:hAnsi="Open Sans"/>
          <w:b/>
          <w:bCs/>
          <w:color w:val="1A1A1A"/>
          <w:sz w:val="22"/>
          <w:szCs w:val="22"/>
        </w:rPr>
        <w:t xml:space="preserve">Font Body: </w:t>
      </w:r>
      <w:r>
        <w:rPr>
          <w:rFonts w:ascii="Open Sans" w:cs="Open Sans" w:eastAsia="Open Sans" w:hAnsi="Open Sans"/>
          <w:color w:val="333333"/>
          <w:sz w:val="22"/>
          <w:szCs w:val="22"/>
        </w:rPr>
        <w:t xml:space="preserve">Open Sans (wght 300-800)</w:t>
      </w:r>
    </w:p>
    <w:p>
      <w:pPr>
        <w:spacing w:after="160"/>
      </w:pPr>
      <w:r>
        <w:rPr>
          <w:rFonts w:ascii="Open Sans" w:cs="Open Sans" w:eastAsia="Open Sans" w:hAnsi="Open Sans"/>
          <w:b/>
          <w:bCs/>
          <w:color w:val="1A1A1A"/>
          <w:sz w:val="22"/>
          <w:szCs w:val="22"/>
        </w:rPr>
        <w:t xml:space="preserve">Gradiente Primario: </w:t>
      </w:r>
      <w:r>
        <w:rPr>
          <w:rFonts w:ascii="Open Sans" w:cs="Open Sans" w:eastAsia="Open Sans" w:hAnsi="Open Sans"/>
          <w:color w:val="333333"/>
          <w:sz w:val="22"/>
          <w:szCs w:val="22"/>
        </w:rPr>
        <w:t xml:space="preserve">linear-gradient(135deg, #F5C518 0%, #FF8C00 100%)</w:t>
      </w:r>
    </w:p>
    <w:p>
      <w:pPr>
        <w:spacing w:after="160"/>
      </w:pPr>
      <w:r>
        <w:rPr>
          <w:rFonts w:ascii="Open Sans" w:cs="Open Sans" w:eastAsia="Open Sans" w:hAnsi="Open Sans"/>
          <w:b/>
          <w:bCs/>
          <w:color w:val="1A1A1A"/>
          <w:sz w:val="22"/>
          <w:szCs w:val="22"/>
        </w:rPr>
        <w:t xml:space="preserve">Border Radius: </w:t>
      </w:r>
      <w:r>
        <w:rPr>
          <w:rFonts w:ascii="Open Sans" w:cs="Open Sans" w:eastAsia="Open Sans" w:hAnsi="Open Sans"/>
          <w:color w:val="333333"/>
          <w:sz w:val="22"/>
          <w:szCs w:val="22"/>
        </w:rPr>
        <w:t xml:space="preserve">16px (cards), 10px (buttons/inputs)</w:t>
      </w:r>
    </w:p>
    <w:p>
      <w:pPr>
        <w:spacing w:after="160"/>
      </w:pPr>
      <w:r>
        <w:rPr>
          <w:rFonts w:ascii="Open Sans" w:cs="Open Sans" w:eastAsia="Open Sans" w:hAnsi="Open Sans"/>
          <w:b/>
          <w:bCs/>
          <w:color w:val="1A1A1A"/>
          <w:sz w:val="22"/>
          <w:szCs w:val="22"/>
        </w:rPr>
        <w:t xml:space="preserve">Approccio: </w:t>
      </w:r>
      <w:r>
        <w:rPr>
          <w:rFonts w:ascii="Open Sans" w:cs="Open Sans" w:eastAsia="Open Sans" w:hAnsi="Open Sans"/>
          <w:color w:val="333333"/>
          <w:sz w:val="22"/>
          <w:szCs w:val="22"/>
        </w:rPr>
        <w:t xml:space="preserve">Evoluzione, non rivoluzione. Design familiare per i clienti esistenti con modernizzazione progressiva.</w:t>
      </w:r>
    </w:p>
    <w:p>
      <w:pPr>
        <w:pBdr>
          <w:bottom w:val="single" w:color="FF8C00" w:sz="4" w:space="8"/>
        </w:pBdr>
        <w:spacing w:before="200" w:after="200"/>
      </w:pPr>
    </w:p>
    <w:p>
      <w:pPr>
        <w:pStyle w:val="Heading1"/>
        <w:spacing w:before="300" w:after="200"/>
      </w:pPr>
      <w:r>
        <w:t xml:space="preserve">6. Sicurezza e Protezione Dati</w:t>
      </w:r>
    </w:p>
    <w:p>
      <w:pPr>
        <w:spacing w:after="160"/>
      </w:pPr>
      <w:r>
        <w:rPr>
          <w:rFonts w:ascii="Open Sans" w:cs="Open Sans" w:eastAsia="Open Sans" w:hAnsi="Open Sans"/>
          <w:color w:val="333333"/>
          <w:sz w:val="22"/>
          <w:szCs w:val="22"/>
        </w:rPr>
        <w:t xml:space="preserve">La protezione del patrimonio informativo easyWin, costruito in 25 anni di attività, è la priorità assoluta dell'architettura.</w:t>
      </w:r>
    </w:p>
    <w:p>
      <w:pPr>
        <w:spacing w:after="100"/>
      </w:pPr>
    </w:p>
    <w:p>
      <w:pPr>
        <w:pStyle w:val="ListParagraph"/>
        <w:numPr>
          <w:ilvl w:val="0"/>
          <w:numId w:val="2"/>
        </w:numPr>
        <w:spacing w:after="100"/>
      </w:pPr>
      <w:r>
        <w:rPr>
          <w:rFonts w:ascii="Open Sans" w:cs="Open Sans" w:eastAsia="Open Sans" w:hAnsi="Open Sans"/>
          <w:color w:val="333333"/>
          <w:sz w:val="22"/>
          <w:szCs w:val="22"/>
        </w:rPr>
        <w:t xml:space="preserve">Autenticazione multi-fattore con NextAuth.js</w:t>
      </w:r>
    </w:p>
    <w:p>
      <w:pPr>
        <w:pStyle w:val="ListParagraph"/>
        <w:numPr>
          <w:ilvl w:val="0"/>
          <w:numId w:val="2"/>
        </w:numPr>
        <w:spacing w:after="100"/>
      </w:pPr>
      <w:r>
        <w:rPr>
          <w:rFonts w:ascii="Open Sans" w:cs="Open Sans" w:eastAsia="Open Sans" w:hAnsi="Open Sans"/>
          <w:color w:val="333333"/>
          <w:sz w:val="22"/>
          <w:szCs w:val="22"/>
        </w:rPr>
        <w:t xml:space="preserve">Crittografia end-to-end per dati sensibili (P.IVA, dati aziendali)</w:t>
      </w:r>
    </w:p>
    <w:p>
      <w:pPr>
        <w:pStyle w:val="ListParagraph"/>
        <w:numPr>
          <w:ilvl w:val="0"/>
          <w:numId w:val="2"/>
        </w:numPr>
        <w:spacing w:after="100"/>
      </w:pPr>
      <w:r>
        <w:rPr>
          <w:rFonts w:ascii="Open Sans" w:cs="Open Sans" w:eastAsia="Open Sans" w:hAnsi="Open Sans"/>
          <w:color w:val="333333"/>
          <w:sz w:val="22"/>
          <w:szCs w:val="22"/>
        </w:rPr>
        <w:t xml:space="preserve">Backup incrementali giornalieri con retention 90 giorni</w:t>
      </w:r>
    </w:p>
    <w:p>
      <w:pPr>
        <w:pStyle w:val="ListParagraph"/>
        <w:numPr>
          <w:ilvl w:val="0"/>
          <w:numId w:val="2"/>
        </w:numPr>
        <w:spacing w:after="100"/>
      </w:pPr>
      <w:r>
        <w:rPr>
          <w:rFonts w:ascii="Open Sans" w:cs="Open Sans" w:eastAsia="Open Sans" w:hAnsi="Open Sans"/>
          <w:color w:val="333333"/>
          <w:sz w:val="22"/>
          <w:szCs w:val="22"/>
        </w:rPr>
        <w:t xml:space="preserve">Rate limiting e protezione DDoS su tutte le API</w:t>
      </w:r>
    </w:p>
    <w:p>
      <w:pPr>
        <w:pStyle w:val="ListParagraph"/>
        <w:numPr>
          <w:ilvl w:val="0"/>
          <w:numId w:val="2"/>
        </w:numPr>
        <w:spacing w:after="100"/>
      </w:pPr>
      <w:r>
        <w:rPr>
          <w:rFonts w:ascii="Open Sans" w:cs="Open Sans" w:eastAsia="Open Sans" w:hAnsi="Open Sans"/>
          <w:color w:val="333333"/>
          <w:sz w:val="22"/>
          <w:szCs w:val="22"/>
        </w:rPr>
        <w:t xml:space="preserve">Conformità GDPR per il trattamento dati personali</w:t>
      </w:r>
    </w:p>
    <w:p>
      <w:pPr>
        <w:pStyle w:val="ListParagraph"/>
        <w:numPr>
          <w:ilvl w:val="0"/>
          <w:numId w:val="2"/>
        </w:numPr>
        <w:spacing w:after="100"/>
      </w:pPr>
      <w:r>
        <w:rPr>
          <w:rFonts w:ascii="Open Sans" w:cs="Open Sans" w:eastAsia="Open Sans" w:hAnsi="Open Sans"/>
          <w:color w:val="333333"/>
          <w:sz w:val="22"/>
          <w:szCs w:val="22"/>
        </w:rPr>
        <w:t xml:space="preserve">Audit log completo di tutte le operazioni critiche</w:t>
      </w:r>
    </w:p>
    <w:p>
      <w:pPr>
        <w:pBdr>
          <w:bottom w:val="single" w:color="FF8C00" w:sz="4" w:space="8"/>
        </w:pBdr>
        <w:spacing w:before="200" w:after="200"/>
      </w:pPr>
    </w:p>
    <w:p>
      <w:pPr>
        <w:pStyle w:val="Heading1"/>
        <w:spacing w:before="300" w:after="200"/>
      </w:pPr>
      <w:r>
        <w:t xml:space="preserve">7. Roadmap di Implementazione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Timeline</w:t>
            </w:r>
          </w:p>
        </w:tc>
        <w:tc>
          <w:tcPr>
            <w:tcW w:type="dxa" w:w="388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Attività</w:t>
            </w:r>
          </w:p>
        </w:tc>
        <w:tc>
          <w:tcPr>
            <w:tcW w:type="dxa" w:w="3880"/>
            <w:tcBorders>
              <w:top w:val="single" w:color="E0E0E0" w:sz="1"/>
              <w:left w:val="single" w:color="E0E0E0" w:sz="1"/>
              <w:bottom w:val="single" w:color="E0E0E0" w:sz="1"/>
              <w:right w:val="single" w:color="E0E0E0" w:sz="1"/>
            </w:tcBorders>
            <w:shd w:fill="FF8C00" w:val="clear"/>
            <w:tcMar>
              <w:top w:type="dxa" w:w="100"/>
              <w:left w:type="dxa" w:w="140"/>
              <w:bottom w:type="dxa" w:w="100"/>
              <w:right w:type="dxa" w:w="140"/>
            </w:tcMar>
          </w:tcPr>
          <w:p>
            <w:r>
              <w:rPr>
                <w:rFonts w:ascii="Open Sans" w:cs="Open Sans" w:eastAsia="Open Sans" w:hAnsi="Open Sans"/>
                <w:b/>
                <w:bCs/>
                <w:color w:val="FFFFFF"/>
                <w:sz w:val="18"/>
                <w:szCs w:val="18"/>
              </w:rPr>
              <w:t xml:space="preserve">Deliverable</w:t>
            </w:r>
          </w:p>
        </w:tc>
      </w:tr>
      <w:tr>
        <w:tc>
          <w:tcPr>
            <w:tcW w:type="dxa" w:w="16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Mese 1-2</w:t>
            </w:r>
          </w:p>
        </w:tc>
        <w:tc>
          <w:tcPr>
            <w:tcW w:type="dxa" w:w="388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Setup infrastruttura + Migrazione Bandi</w:t>
            </w:r>
          </w:p>
        </w:tc>
        <w:tc>
          <w:tcPr>
            <w:tcW w:type="dxa" w:w="388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Frontend base + API Bandi + Bandi AI</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Mese 3-4</w:t>
            </w:r>
          </w:p>
        </w:tc>
        <w:tc>
          <w:tcPr>
            <w:tcW w:type="dxa" w:w="3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Migrazione Esiti + Aziende</w:t>
            </w:r>
          </w:p>
        </w:tc>
        <w:tc>
          <w:tcPr>
            <w:tcW w:type="dxa" w:w="3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Esiti AI + Cross-reference DB + Range Statistico</w:t>
            </w:r>
          </w:p>
        </w:tc>
      </w:tr>
      <w:tr>
        <w:tc>
          <w:tcPr>
            <w:tcW w:type="dxa" w:w="16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Mese 5-6</w:t>
            </w:r>
          </w:p>
        </w:tc>
        <w:tc>
          <w:tcPr>
            <w:tcW w:type="dxa" w:w="388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Simulazioni AI + Sopralluoghi</w:t>
            </w:r>
          </w:p>
        </w:tc>
        <w:tc>
          <w:tcPr>
            <w:tcW w:type="dxa" w:w="388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Motore simulazione + Mappa interattiva</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Mese 7-8</w:t>
            </w:r>
          </w:p>
        </w:tc>
        <w:tc>
          <w:tcPr>
            <w:tcW w:type="dxa" w:w="3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Albi Fornitori + Utenti</w:t>
            </w:r>
          </w:p>
        </w:tc>
        <w:tc>
          <w:tcPr>
            <w:tcW w:type="dxa" w:w="3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Pannello albi + Sistema autenticazione</w:t>
            </w:r>
          </w:p>
        </w:tc>
      </w:tr>
      <w:tr>
        <w:tc>
          <w:tcPr>
            <w:tcW w:type="dxa" w:w="160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Mese 9-10</w:t>
            </w:r>
          </w:p>
        </w:tc>
        <w:tc>
          <w:tcPr>
            <w:tcW w:type="dxa" w:w="388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Testing + Ottimizzazione</w:t>
            </w:r>
          </w:p>
        </w:tc>
        <w:tc>
          <w:tcPr>
            <w:tcW w:type="dxa" w:w="3880"/>
            <w:tcBorders>
              <w:top w:val="single" w:color="E0E0E0" w:sz="1"/>
              <w:left w:val="single" w:color="E0E0E0" w:sz="1"/>
              <w:bottom w:val="single" w:color="E0E0E0" w:sz="1"/>
              <w:right w:val="single" w:color="E0E0E0" w:sz="1"/>
            </w:tcBorders>
            <w:shd w:fill="FFF9E6" w:val="clear"/>
            <w:tcMar>
              <w:top w:type="dxa" w:w="100"/>
              <w:left w:type="dxa" w:w="140"/>
              <w:bottom w:type="dxa" w:w="100"/>
              <w:right w:type="dxa" w:w="140"/>
            </w:tcMar>
          </w:tcPr>
          <w:p>
            <w:r>
              <w:rPr>
                <w:rFonts w:ascii="Open Sans" w:cs="Open Sans" w:eastAsia="Open Sans" w:hAnsi="Open Sans"/>
                <w:color w:val="333333"/>
                <w:sz w:val="20"/>
                <w:szCs w:val="20"/>
              </w:rPr>
              <w:t xml:space="preserve">Beta testing + Performance tuning</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Mese 11-12</w:t>
            </w:r>
          </w:p>
        </w:tc>
        <w:tc>
          <w:tcPr>
            <w:tcW w:type="dxa" w:w="3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Go-live + Formazione</w:t>
            </w:r>
          </w:p>
        </w:tc>
        <w:tc>
          <w:tcPr>
            <w:tcW w:type="dxa" w:w="3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Open Sans" w:cs="Open Sans" w:eastAsia="Open Sans" w:hAnsi="Open Sans"/>
                <w:color w:val="333333"/>
                <w:sz w:val="20"/>
                <w:szCs w:val="20"/>
              </w:rPr>
              <w:t xml:space="preserve">Lancio produzione + Training utenti</w:t>
            </w:r>
          </w:p>
        </w:tc>
      </w:tr>
    </w:tbl>
    <w:p>
      <w:pPr>
        <w:spacing w:after="400"/>
      </w:pPr>
    </w:p>
    <w:p>
      <w:pPr>
        <w:pBdr>
          <w:top w:val="single" w:color="F5C518" w:sz="4" w:space="16"/>
        </w:pBdr>
        <w:spacing w:before="200"/>
        <w:jc w:val="center"/>
      </w:pPr>
      <w:r>
        <w:rPr>
          <w:rFonts w:ascii="Comfortaa" w:cs="Comfortaa" w:eastAsia="Comfortaa" w:hAnsi="Comfortaa"/>
          <w:b/>
          <w:bCs/>
          <w:color w:val="FF8C00"/>
          <w:sz w:val="22"/>
          <w:szCs w:val="22"/>
        </w:rPr>
        <w:t xml:space="preserve">easyWin </w:t>
      </w:r>
      <w:r>
        <w:rPr>
          <w:rFonts w:ascii="Open Sans" w:cs="Open Sans" w:eastAsia="Open Sans" w:hAnsi="Open Sans"/>
          <w:color w:val="666666"/>
          <w:sz w:val="20"/>
          <w:szCs w:val="20"/>
        </w:rPr>
        <w:t xml:space="preserve">- La chiave del successo nelle Gare d'Appalto</w:t>
      </w:r>
    </w:p>
    <w:p>
      <w:pPr>
        <w:spacing w:after="100"/>
        <w:jc w:val="center"/>
      </w:pPr>
      <w:r>
        <w:rPr>
          <w:rFonts w:ascii="Open Sans" w:cs="Open Sans" w:eastAsia="Open Sans" w:hAnsi="Open Sans"/>
          <w:color w:val="666666"/>
          <w:sz w:val="18"/>
          <w:szCs w:val="18"/>
        </w:rPr>
        <w:t xml:space="preserve">Edra Servizi s.r.l. | Via Malta 5/9, 16121 Genova | info@easywin.it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6"/>
      </w:pBdr>
      <w:tabs>
        <w:tab w:val="right" w:pos="9026"/>
      </w:tabs>
    </w:pPr>
    <w:r>
      <w:rPr>
        <w:rFonts w:ascii="Open Sans" w:cs="Open Sans" w:eastAsia="Open Sans" w:hAnsi="Open Sans"/>
        <w:color w:val="666666"/>
        <w:sz w:val="16"/>
        <w:szCs w:val="16"/>
      </w:rPr>
      <w:t xml:space="preserve">Documento Riservato - easyWin 2026</w:t>
    </w:r>
    <w:r>
      <w:rPr>
        <w:rFonts w:ascii="Open Sans" w:cs="Open Sans" w:eastAsia="Open Sans" w:hAnsi="Open Sans"/>
        <w:color w:val="666666"/>
        <w:sz w:val="16"/>
        <w:szCs w:val="16"/>
      </w:rPr>
      <w:t xml:space="preserve">	Pagina </w:t>
    </w:r>
    <w:r>
      <w:rPr>
        <w:rFonts w:ascii="Open Sans" w:cs="Open Sans" w:eastAsia="Open Sans" w:hAnsi="Open Sans"/>
        <w:color w:val="FF8C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8C00" w:sz="2" w:space="6"/>
      </w:pBdr>
      <w:tabs>
        <w:tab w:val="right" w:pos="9026"/>
      </w:tabs>
      <w:spacing w:after="200"/>
    </w:pPr>
    <w:r>
      <w:rPr>
        <w:rFonts w:ascii="Comfortaa" w:cs="Comfortaa" w:eastAsia="Comfortaa" w:hAnsi="Comfortaa"/>
        <w:b/>
        <w:bCs/>
        <w:color w:val="FF8C00"/>
        <w:sz w:val="18"/>
        <w:szCs w:val="18"/>
      </w:rPr>
      <w:t xml:space="preserve">easyWin</w:t>
    </w:r>
    <w:r>
      <w:rPr>
        <w:rFonts w:ascii="Open Sans" w:cs="Open Sans" w:eastAsia="Open Sans" w:hAnsi="Open Sans"/>
        <w:color w:val="666666"/>
        <w:sz w:val="16"/>
        <w:szCs w:val="16"/>
      </w:rPr>
      <w:t xml:space="preserve">	Architettura Piattaforma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omfortaa" w:cs="Comfortaa" w:eastAsia="Comfortaa" w:hAnsi="Comfortaa"/>
      <w:b/>
      <w:bCs/>
      <w:color w:val="1A1A1A"/>
      <w:sz w:val="36"/>
      <w:szCs w:val="36"/>
    </w:rPr>
  </w:style>
  <w:style w:type="paragraph" w:styleId="Heading2">
    <w:name w:val="Heading 2"/>
    <w:basedOn w:val="Normal"/>
    <w:next w:val="Normal"/>
    <w:qFormat/>
    <w:pPr>
      <w:spacing w:before="280" w:after="180"/>
      <w:outlineLvl w:val="1"/>
    </w:pPr>
    <w:rPr>
      <w:rFonts w:ascii="Comfortaa" w:cs="Comfortaa" w:eastAsia="Comfortaa" w:hAnsi="Comfortaa"/>
      <w:b/>
      <w:bCs/>
      <w:color w:val="FF8C00"/>
      <w:sz w:val="28"/>
      <w:szCs w:val="28"/>
    </w:rPr>
  </w:style>
  <w:style w:type="paragraph" w:styleId="Heading3">
    <w:name w:val="Heading 3"/>
    <w:basedOn w:val="Normal"/>
    <w:next w:val="Normal"/>
    <w:qFormat/>
    <w:pPr>
      <w:spacing w:before="200" w:after="140"/>
      <w:outlineLvl w:val="2"/>
    </w:pPr>
    <w:rPr>
      <w:rFonts w:ascii="Comfortaa" w:cs="Comfortaa" w:eastAsia="Comfortaa" w:hAnsi="Comforta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2026-03-26T19:45:07.100Z</dcterms:created>
  <dcterms:modified xsi:type="dcterms:W3CDTF">2026-03-26T19:45:07.101Z</dcterms:modified>
</cp:coreProperties>
</file>

<file path=docProps/custom.xml><?xml version="1.0" encoding="utf-8"?>
<Properties xmlns="http://schemas.openxmlformats.org/officeDocument/2006/custom-properties" xmlns:vt="http://schemas.openxmlformats.org/officeDocument/2006/docPropsVTypes"/>
</file>