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color w:val="1A56DB"/>
                <w:sz w:val="2"/>
                <w:szCs w:val="2"/>
              </w:rPr>
              <w:t xml:space="preserve"> </w:t>
            </w:r>
          </w:p>
        </w:tc>
      </w:tr>
    </w:tbl>
    <w:p>
      <w:pPr>
        <w:spacing w:before="6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11827"/>
          <w:sz w:val="72"/>
          <w:szCs w:val="72"/>
        </w:rPr>
        <w:t xml:space="preserve">Easy</w:t>
      </w: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Win</w:t>
      </w:r>
    </w:p>
    <w:p>
      <w:pPr>
        <w:spacing w:after="4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AI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POWERED BY AI</w:t>
            </w:r>
          </w:p>
        </w:tc>
      </w:tr>
    </w:tbl>
    <w:p>
      <w:pPr>
        <w:spacing w:before="6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Documento Architetturale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Piattaforma Intelligente per Appalti Pubblici</w:t>
      </w:r>
    </w:p>
    <w:p>
      <w:pPr>
        <w:pBdr>
          <w:bottom w:val="single" w:color="F59E0B" w:sz="8" w:space="1"/>
        </w:pBdr>
        <w:spacing w:after="200"/>
      </w:pP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Versione</w:t>
            </w:r>
          </w:p>
        </w:tc>
        <w:tc>
          <w:tcPr>
            <w:tcW w:type="dxa" w:w="65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 — Marzo 2026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65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Edoardo Oliveri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65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Documento Riservato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Progetto</w:t>
            </w:r>
          </w:p>
        </w:tc>
        <w:tc>
          <w:tcPr>
            <w:tcW w:type="dxa" w:w="65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EasyWin AI — Ricostruzione completa con Intelligenza Artificiale</w:t>
            </w:r>
          </w:p>
        </w:tc>
      </w:tr>
    </w:tbl>
    <w:p>
      <w:r>
        <w:br w:type="pag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F59E0B"/>
          <w:sz w:val="48"/>
          <w:szCs w:val="48"/>
        </w:rPr>
        <w:t xml:space="preserve">01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Panoramica del Progetto</w:t>
      </w:r>
    </w:p>
    <w:p>
      <w:pPr>
        <w:pBdr>
          <w:bottom w:val="single" w:color="1A56DB" w:sz="8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EasyWin AI rappresenta l’evoluzione della piattaforma EasyWin, attiva da 25 anni nel settore degli appalti pubblici italiani. Il nuovo sito integra l’Intelligenza Artificiale in ogni aspetto della piattaforma: dall’analisi automatica dei bandi di gara, all’estrazione delle graduatorie dagli esiti, fino al calcolo predittivo del range statistico di vittoria.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L’obiettivo è trasformare EasyWin da un portale informativo a una piattaforma intelligente che automatizza il lavoro manuale, elimina gli errori di calcolo e offre un vantaggio competitivo concreto alle aziende abbonate.</w:t>
      </w:r>
    </w:p>
    <w:p>
      <w:pP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Anni di esperienza</w:t>
            </w:r>
          </w:p>
        </w:tc>
        <w:tc>
          <w:tcPr>
            <w:tcW w:type="dxa" w:w="3009"/>
            <w:tcBorders>
              <w:top w:val="none" w:sz="0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150K+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Bandi analizzati</w:t>
            </w:r>
          </w:p>
        </w:tc>
        <w:tc>
          <w:tcPr>
            <w:tcW w:type="dxa" w:w="3009"/>
            <w:tcBorders>
              <w:top w:val="none" w:sz="0"/>
              <w:left w:val="none" w:sz="0"/>
              <w:bottom w:val="none" w:sz="0"/>
              <w:right w:val="none" w:sz="0"/>
            </w:tcBorders>
            <w:shd w:fill="10B98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Esiti archiviati</w:t>
            </w:r>
          </w:p>
        </w:tc>
      </w:tr>
    </w:tbl>
    <w:p>
      <w:r>
        <w:br w:type="pag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F59E0B"/>
          <w:sz w:val="48"/>
          <w:szCs w:val="48"/>
        </w:rPr>
        <w:t xml:space="preserve">02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Stack Tecnologico</w:t>
      </w:r>
    </w:p>
    <w:p>
      <w:pPr>
        <w:pBdr>
          <w:bottom w:val="single" w:color="1A56DB" w:sz="8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 stack tecnologico è stato scelto per garantire performance, scalabilità e facilità di manutenzione. Ogni componente è stato selezionato per integrarsi al meglio con le funzionalità AI della piattaforma.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 + React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SSR/SSG per SEO, performance eccellente, ecosistema maturo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Stile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 system coerente, sviluppo rapido, responsive nativo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Veloce, leggero, ottima integrazione con servizi AI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Robusto, scalabile, supporto JSON nativo per dati AI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AI Engine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 PDF, estrazione dati, calcoli, spiegazioni naturali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Mappe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Leaflet / Mapbox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Mappe interattive per sopralluoghi, open source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 + VPS dedicato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 su CDN globale, backend su server dedicato per dati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Autenticazione sicura con sessioni e ruoli utente</w:t>
            </w:r>
          </w:p>
        </w:tc>
      </w:tr>
    </w:tbl>
    <w:p>
      <w:r>
        <w:br w:type="pag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F59E0B"/>
          <w:sz w:val="48"/>
          <w:szCs w:val="48"/>
        </w:rPr>
        <w:t xml:space="preserve">03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Le 6 Funzionalità Core</w:t>
      </w:r>
    </w:p>
    <w:p>
      <w:pPr>
        <w:pBdr>
          <w:bottom w:val="single" w:color="1A56DB" w:sz="8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Il nuovo EasyWin AI è costruito attorno a sei funzionalità principali, ognuna potenziata dall’Intelligenza Artificiale.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🤖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Bandi AI — Compilazione Automatica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L’AI analizza PDF e allegati dei bandi importati da Presidia, compilando automaticamente tutte le voci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Esiti AI — Analisi e Cross-referencing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Carica un PDF di esito e l’AI estrae la graduatoria, identifica le aziende e incrocia col database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🧠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Simulazione AI — Calcoli Perfetti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Calcoli precisi al 100%: soglie di anomalia, medie, ribassi. Con spiegazione in linguaggio naturale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📍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Mappa Sopralluoghi Interattiva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Visualizza su mappa i sopralluoghi obbligatori con disponibilità posti e prenotazione diretta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🏛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Albi Fornitori — Info e Servizio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Verifica iscrizione, documentazione necessaria e servizio di iscrizione assistita EasyWin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📊</w:t>
            </w:r>
          </w:p>
        </w:tc>
        <w:tc>
          <w:tcPr>
            <w:tcW w:type="dxa" w:w="82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Range Statistico Predittivo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Calcola il range di ribasso vincente su storico: regione, stazione, SOA, criterio</w:t>
            </w:r>
          </w:p>
        </w:tc>
      </w:tr>
    </w:tbl>
    <w:p>
      <w:r>
        <w:br w:type="page"/>
      </w:r>
    </w:p>
    <w:p>
      <w:pPr>
        <w:pBdr>
          <w:left w:val="single" w:color="1A56DB" w:sz="12" w:space="8"/>
        </w:pBdr>
        <w:spacing w:before="28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 Bandi AI — Compilazione Automatica</w:t>
      </w: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Quando i bandi vengono importati da Presidia con i relativi allegati PDF (disciplinare, capitolato, bando di gara), l’AI li analizza e compila automaticamente tutte le voci.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Flusso operativo: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Import automatico dei bandi dal servizio Presidia (come nel sistema attuale)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L’AI scarica e analizza tutti i PDF allegati al bando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Estrazione automatica dei dati: importi, categorie SOA, date, requisiti, sopralluoghi, criteri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Compilazione di tutti i campi del bando nella piattaforma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Segnalazione dei campi compilati dall’AI con badge visivo “AI”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L’operatore verifica e conferma con un click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EF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⚡ Risultato atteso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Risparmio di 30-60 minuti per ogni bando importato. Riduzione degli errori di compilazione manuale vicina allo zero.</w:t>
            </w:r>
          </w:p>
        </w:tc>
      </w:tr>
    </w:tbl>
    <w:p>
      <w:pPr>
        <w:spacing w:before="300"/>
      </w:pPr>
    </w:p>
    <w:p>
      <w:pPr>
        <w:pBdr>
          <w:left w:val="single" w:color="1A56DB" w:sz="12" w:space="8"/>
        </w:pBdr>
        <w:spacing w:before="28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3.2 Esiti AI — Analisi PDF e Cross-referencing</w:t>
      </w: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L’AI analizza i PDF degli esiti di gara, estrae la graduatoria completa e incrocia i dati con il database aziende di EasyWin.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Gestione casi particolari: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Azienda non nel database: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il sistema crea automaticamente una nuova scheda azienda con i dati estratti dal PDF. L’operatore può verificare prima del salvataggio.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CIG non trovato: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l’esito viene salvato come “standalone” senza collegamento a un bando. Il sistema segnala “CIG non trovato — possibile procedura negoziata”.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🔍 Valore aggiunto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Il database aziende si arricchisce automaticamente con ogni esito importato, diventando sempre più completo nel tempo.</w:t>
            </w:r>
          </w:p>
        </w:tc>
      </w:tr>
    </w:tbl>
    <w:p>
      <w:pPr>
        <w:spacing w:before="300"/>
      </w:pPr>
    </w:p>
    <w:p>
      <w:pPr>
        <w:pBdr>
          <w:left w:val="single" w:color="1A56DB" w:sz="12" w:space="8"/>
        </w:pBdr>
        <w:spacing w:before="28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3.3 Simulazione AI — Calcoli Perfetti</w:t>
      </w: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 simulazione AI sostituisce il sistema manuale di varianti BASE/A-E. L’AI esegue tutti i calcoli con precisione assoluta e spiega ogni risultato in linguaggio naturale.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Calcolo automatico di media aritmetica, soglia di anomalia, media scarti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Supporto completo regole Sblocca Cantieri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Graduatoria automatica con evidenza delle offerte anomale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Spiegazione AI: perché un’offerta è vincente, anomala o esclusa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Esportazione in PDF del risultato completo</w:t>
      </w:r>
    </w:p>
    <w:p>
      <w:r>
        <w:br w:type="page"/>
      </w:r>
    </w:p>
    <w:p>
      <w:pPr>
        <w:pBdr>
          <w:left w:val="single" w:color="1A56DB" w:sz="12" w:space="8"/>
        </w:pBdr>
        <w:spacing w:before="28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3.4 Mappa Sopralluoghi Interattiva</w:t>
      </w: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Una mappa interattiva che visualizza tutti i sopralluoghi obbligatori collegati ai bandi di gara attivi. Le aziende possono prenotare richiedendo un preventivo.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Posizione su mappa con indirizzo del sopralluogo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Collegamento diretto al bando di gara corrispondente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Numero posti disponibili (es. “4 posti disponibili”)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e ora del sopralluogo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Pulsante “Richiedi Preventivo” per le aziende interessate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Indicatori visivi: verde (disponibile), arancione (ultimi posti), rosso (completo)</w:t>
      </w:r>
    </w:p>
    <w:p>
      <w:pPr>
        <w:spacing w:before="300"/>
      </w:pPr>
    </w:p>
    <w:p>
      <w:pPr>
        <w:pBdr>
          <w:left w:val="single" w:color="1A56DB" w:sz="12" w:space="8"/>
        </w:pBdr>
        <w:spacing w:before="28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3.5 Albi Fornitori — Informazione e Servizio</w:t>
      </w: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Per ogni stazione appaltante, il sistema mostra se l’azienda è iscritta all’albo fornitori, con la documentazione necessaria. La compilazione è manuale, EasyWin offre il servizio a pagamento.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Stato iscrizione: “Iscritto” o “Non iscritto” con badge visivo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Documentazione necessaria per l’iscrizione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Istruzioni passo-passo su come iscriversi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Scadenze di rinnovo (se iscritto)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💰 Modello di business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L’informazione è gratuita per gli abbonati. Il tasto “Richiedi servizio a EasyWin” attiva il servizio a pagamento di iscrizione assistita.</w:t>
            </w:r>
          </w:p>
        </w:tc>
      </w:tr>
    </w:tbl>
    <w:p>
      <w:pPr>
        <w:spacing w:before="300"/>
      </w:pPr>
    </w:p>
    <w:p>
      <w:pPr>
        <w:pBdr>
          <w:left w:val="single" w:color="1A56DB" w:sz="12" w:space="8"/>
        </w:pBdr>
        <w:spacing w:before="28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3.6 Range Statistico Predittivo</w:t>
      </w: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 funzionalità più innovativa di EasyWin AI. Sulla base dello storico degli esiti, il sistema calcola il range di ribasso con cui statisticamente si vince una gara.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Filtri di calcolo: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Regione (es. Lazio, Lombardia, Campania...)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Stazione appaltante (es. Comune di Roma)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Categoria SOA (es. OG1 Classifica III)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Criterio di aggiudicazione (prezzo più basso, OEPV)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EF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🎯 Output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minimo-massimo, ribasso ottimale, numero esiti analizzati, percentuale di affidabilità. Es: “OG1 Comune di Roma, prezzo più basso: vinci con ribasso tra 18% e 24%”</w:t>
            </w:r>
          </w:p>
        </w:tc>
      </w:tr>
    </w:tbl>
    <w:p>
      <w:r>
        <w:br w:type="pag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F59E0B"/>
          <w:sz w:val="48"/>
          <w:szCs w:val="48"/>
        </w:rPr>
        <w:t xml:space="preserve">04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Strategia di Migrazione Dati</w:t>
      </w:r>
    </w:p>
    <w:p>
      <w:pPr>
        <w:pBdr>
          <w:bottom w:val="single" w:color="1A56DB" w:sz="8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Il database attuale (SQL Server, circa 56 GB) verrà migrato progressivamente a PostgreSQL. La migrazione avviene per moduli, partendo dai dati più critici.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800"/>
        <w:gridCol w:w="1400"/>
        <w:gridCol w:w="1326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TABELLE PRINCIPALI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PESO STIMATO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PRIORITÀ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Bandi di gara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Bandi, BandiSoa*, BandiProvince, Allegati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~15 GB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Esiti di gara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Gare, Punteggi, DettaglioGara, GareSoa*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~12 GB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Anagrafica aziende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Azienda, ATI, Concorrenti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~5 GB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Stazioni appaltanti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Stazioni, Province, Regioni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 GB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Utenti e abbonamenti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Utenti, Abbonamenti, Newsletter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 GB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Dati storici e log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Log, Sessioni, Cache, Quartz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~21 GB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BASSA</w:t>
            </w:r>
          </w:p>
        </w:tc>
      </w:tr>
    </w:tbl>
    <w:p>
      <w:r>
        <w:br w:type="pag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F59E0B"/>
          <w:sz w:val="48"/>
          <w:szCs w:val="48"/>
        </w:rPr>
        <w:t xml:space="preserve">05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Filosofia di Design</w:t>
      </w:r>
    </w:p>
    <w:p>
      <w:pPr>
        <w:pBdr>
          <w:bottom w:val="single" w:color="1A56DB" w:sz="8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Il nuovo design segue il principio “evoluzione, non rivoluzione”. I clienti attuali non devono sentirsi spaesati. La navigazione mantiene la stessa logica del sito attuale con l’aggiunta delle nuove sezioni.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EFFC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Familiare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Stessa struttura logica del sito attuale per non confondere i clienti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Moderno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Interfaccia pulita, tipografia chiara, spaziature generose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AI-First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Funzionalità AI visibili e integrate con badge e pannelli dedicati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EFFC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Responsive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Funziona perfettamente su desktop, tablet e mobile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Palette colori del brand: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#1A56DB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0F172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#0F172A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#F59E0B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10B98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Success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#10B981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EF44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Danger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#EF4444</w:t>
            </w:r>
          </w:p>
        </w:tc>
        <w:tc>
          <w:tcPr>
            <w:tcW w:type="dxa" w:w="1526"/>
            <w:tcBorders>
              <w:top w:val="none" w:sz="0"/>
              <w:left w:val="none" w:sz="0"/>
              <w:bottom w:val="none" w:sz="0"/>
              <w:right w:val="none" w:sz="0"/>
            </w:tcBorders>
            <w:shd w:fill="6B728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#6B7280</w:t>
            </w:r>
          </w:p>
        </w:tc>
      </w:tr>
    </w:tbl>
    <w:p>
      <w:r>
        <w:br w:type="pag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F59E0B"/>
          <w:sz w:val="48"/>
          <w:szCs w:val="48"/>
        </w:rPr>
        <w:t xml:space="preserve">06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Prossimi Passi</w:t>
      </w:r>
    </w:p>
    <w:p>
      <w:pPr>
        <w:pBdr>
          <w:bottom w:val="single" w:color="1A56DB" w:sz="8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Il progetto procederà per fasi incrementali, partendo dal prototipo funzionante e arrivando alla piattaforma completa.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500"/>
        <w:gridCol w:w="15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0B98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54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FASE 1 —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Prototipo e Design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Mockup interattivi di tutte le sezioni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4"/>
                <w:szCs w:val="14"/>
              </w:rPr>
              <w:t xml:space="preserve">COMPLETATO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/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500"/>
        <w:gridCol w:w="15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542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FASE 2 —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e Database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 PostgreSQL, migrazione dati bandi/esiti, API REST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4"/>
                <w:szCs w:val="14"/>
              </w:rPr>
              <w:t xml:space="preserve">PROSSIMO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/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500"/>
        <w:gridCol w:w="15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54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FASE 3 —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Integrazione AI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Analisi PDF bandi, estrazione esiti, simulazione calcoli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4"/>
                <w:szCs w:val="14"/>
              </w:rPr>
              <w:t xml:space="preserve">PIANIFICATO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/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500"/>
        <w:gridCol w:w="15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542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FASE 4 —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Funzionalità avanzate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Mappa sopralluoghi, albi fornitori, range statistico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4"/>
                <w:szCs w:val="14"/>
              </w:rPr>
              <w:t xml:space="preserve">PIANIFICATO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/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500"/>
        <w:gridCol w:w="15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6B7280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5426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FASE 5 —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Modello di business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Definizione nuovi piani di abbonamento e servizi a pagamento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4"/>
                <w:szCs w:val="14"/>
              </w:rPr>
              <w:t xml:space="preserve">DA DEFINIRE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/>
        </w:tc>
      </w:tr>
    </w:tbl>
    <w:p>
      <w:pPr>
        <w:spacing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500"/>
        <w:gridCol w:w="15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6B7280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542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FASE 6 —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Testing e lancio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Beta testing con clienti selezionati, migrazione progressiva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4"/>
                <w:szCs w:val="14"/>
              </w:rPr>
              <w:t xml:space="preserve">DA DEFINIRE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/>
        </w:tc>
      </w:tr>
    </w:tbl>
    <w:p>
      <w:pPr>
        <w:spacing w:before="4"/>
      </w:pP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Easy</w:t>
            </w: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Win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25 anni di esperienza potenziati dall’Intelligenza Artificiale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</w:pP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sz="0"/>
            <w:left w:val="none" w:sz="0"/>
            <w:bottom w:val="none" w:sz="0"/>
            <w:right w:val="none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B7280"/>
              <w:sz w:val="15"/>
              <w:szCs w:val="15"/>
            </w:rPr>
            <w:t xml:space="preserve">Documento Riservato — EasyWin AI</w:t>
          </w:r>
        </w:p>
      </w:tc>
      <w:tc>
        <w:tcPr>
          <w:tcW w:type="dxa" w:w="4513"/>
          <w:tcBorders>
            <w:top w:val="none" w:sz="0"/>
            <w:left w:val="none" w:sz="0"/>
            <w:bottom w:val="none" w:sz="0"/>
            <w:right w:val="none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5"/>
              <w:szCs w:val="15"/>
            </w:rPr>
            <w:t xml:space="preserve">Pagina </w:t>
          </w:r>
          <w:r>
            <w:rPr>
              <w:rFonts w:ascii="Arial" w:cs="Arial" w:eastAsia="Arial" w:hAnsi="Arial"/>
              <w:b/>
              <w:bCs/>
              <w:color w:val="1A56DB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sz="0"/>
            <w:left w:val="none" w:sz="0"/>
            <w:bottom w:val="none" w:sz="0"/>
            <w:right w:val="none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11827"/>
              <w:sz w:val="20"/>
              <w:szCs w:val="20"/>
            </w:rPr>
            <w:t xml:space="preserve">Easy</w:t>
          </w:r>
          <w:r>
            <w:rPr>
              <w:rFonts w:ascii="Arial" w:cs="Arial" w:eastAsia="Arial" w:hAnsi="Arial"/>
              <w:b/>
              <w:bCs/>
              <w:color w:val="1A56DB"/>
              <w:sz w:val="20"/>
              <w:szCs w:val="20"/>
            </w:rPr>
            <w:t xml:space="preserve">Win</w:t>
          </w:r>
          <w:r>
            <w:rPr>
              <w:rFonts w:ascii="Arial" w:cs="Arial" w:eastAsia="Arial" w:hAnsi="Arial"/>
              <w:b/>
              <w:bCs/>
              <w:color w:val="F59E0B"/>
              <w:sz w:val="14"/>
              <w:szCs w:val="14"/>
            </w:rPr>
            <w:t xml:space="preserve">  AI</w:t>
          </w:r>
        </w:p>
      </w:tc>
      <w:tc>
        <w:tcPr>
          <w:tcW w:type="dxa" w:w="4513"/>
          <w:tcBorders>
            <w:top w:val="none" w:sz="0"/>
            <w:left w:val="none" w:sz="0"/>
            <w:bottom w:val="none" w:sz="0"/>
            <w:right w:val="none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Documento Architetturale v1.0</w:t>
          </w:r>
        </w:p>
      </w:tc>
    </w:tr>
  </w:tbl>
  <w:p>
    <w:pPr>
      <w:pBdr>
        <w:bottom w:val="single" w:color="1A56DB" w:sz="4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2026-03-26T19:32:35.966Z</dcterms:created>
  <dcterms:modified xsi:type="dcterms:W3CDTF">2026-03-26T19:32:35.966Z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