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167" w:rsidRDefault="00051272" w:rsidP="00051272">
      <w:pPr>
        <w:jc w:val="center"/>
        <w:rPr>
          <w:b/>
          <w:sz w:val="44"/>
        </w:rPr>
      </w:pPr>
      <w:r w:rsidRPr="00051272">
        <w:rPr>
          <w:b/>
          <w:sz w:val="44"/>
        </w:rPr>
        <w:t>RRI Scan Software Overview</w:t>
      </w:r>
    </w:p>
    <w:p w:rsidR="00051272" w:rsidRPr="00F71F71" w:rsidRDefault="007E6F91" w:rsidP="00F71F71">
      <w:pPr>
        <w:jc w:val="center"/>
        <w:rPr>
          <w:sz w:val="36"/>
        </w:rPr>
      </w:pPr>
      <w:r w:rsidRPr="007E6F91">
        <w:rPr>
          <w:sz w:val="36"/>
        </w:rPr>
        <w:t>Updated Nov 2012</w:t>
      </w:r>
      <w:r>
        <w:rPr>
          <w:sz w:val="36"/>
        </w:rPr>
        <w:t xml:space="preserve"> </w:t>
      </w:r>
    </w:p>
    <w:p w:rsidR="00051272" w:rsidRPr="00051272" w:rsidRDefault="00051272" w:rsidP="00051272">
      <w:pPr>
        <w:pStyle w:val="ListParagraph"/>
        <w:numPr>
          <w:ilvl w:val="0"/>
          <w:numId w:val="1"/>
        </w:numPr>
        <w:rPr>
          <w:b/>
          <w:sz w:val="24"/>
        </w:rPr>
      </w:pPr>
      <w:r w:rsidRPr="00051272">
        <w:rPr>
          <w:b/>
          <w:sz w:val="24"/>
        </w:rPr>
        <w:t>Software Entry</w:t>
      </w:r>
    </w:p>
    <w:p w:rsidR="00805087" w:rsidRDefault="00051272" w:rsidP="00802B1D">
      <w:r w:rsidRPr="00051272">
        <w:t>The operation of the scan system is contr</w:t>
      </w:r>
      <w:r>
        <w:t xml:space="preserve">olled through the </w:t>
      </w:r>
      <w:proofErr w:type="gramStart"/>
      <w:r>
        <w:t>vi</w:t>
      </w:r>
      <w:proofErr w:type="gramEnd"/>
      <w:r>
        <w:t xml:space="preserve"> named mastercontrol.vi</w:t>
      </w:r>
      <w:r w:rsidR="00532F66">
        <w:t xml:space="preserve"> (or could be mastercontrol.exe if a runtime version)</w:t>
      </w:r>
      <w:r>
        <w:t xml:space="preserve">. </w:t>
      </w:r>
      <w:proofErr w:type="spellStart"/>
      <w:r>
        <w:t>Mastercontrol</w:t>
      </w:r>
      <w:proofErr w:type="spellEnd"/>
      <w:r w:rsidRPr="00051272">
        <w:t xml:space="preserve"> is a portal to all components of data acquisition and motion control. </w:t>
      </w:r>
      <w:r>
        <w:t xml:space="preserve"> The software is compiled in </w:t>
      </w:r>
      <w:proofErr w:type="spellStart"/>
      <w:r>
        <w:t>LabVIEW</w:t>
      </w:r>
      <w:proofErr w:type="spellEnd"/>
      <w:r>
        <w:t xml:space="preserve"> 20</w:t>
      </w:r>
      <w:r w:rsidR="00532F66">
        <w:t>12</w:t>
      </w:r>
      <w:r>
        <w:t>. Run the software by pushing the right pointing arrow at the upper left corner of the window (Blue circle).</w:t>
      </w:r>
      <w:r w:rsidR="00805087">
        <w:t xml:space="preserve"> Some</w:t>
      </w:r>
      <w:r>
        <w:t xml:space="preserve"> settings will be configured</w:t>
      </w:r>
      <w:r w:rsidR="00805087">
        <w:t xml:space="preserve"> based on location and some will be changed based on the scan mode. </w:t>
      </w:r>
      <w:r w:rsidR="00532F66">
        <w:t xml:space="preserve"> Many of location specific settings are access in block diagram and can be viewed by hitting &lt;CTRL&gt;-E</w:t>
      </w:r>
    </w:p>
    <w:p w:rsidR="00805087" w:rsidRDefault="00532F66" w:rsidP="00802B1D">
      <w:r>
        <w:t xml:space="preserve">Basic control of motion stages </w:t>
      </w:r>
      <w:r w:rsidR="00805087">
        <w:t xml:space="preserve">can be handled in </w:t>
      </w:r>
      <w:r>
        <w:t xml:space="preserve">section surrounded by the </w:t>
      </w:r>
      <w:r w:rsidR="00805087">
        <w:t>Gre</w:t>
      </w:r>
      <w:r>
        <w:t>en Box</w:t>
      </w:r>
      <w:r w:rsidR="00805087">
        <w:t>. Click the buttons to open a motion interface, return to home, change global velocity or acceleration, or designate a scan overshoot (in mm). The Options Area (</w:t>
      </w:r>
      <w:r>
        <w:t>R</w:t>
      </w:r>
      <w:r w:rsidR="00780C3D">
        <w:t>ed</w:t>
      </w:r>
      <w:r w:rsidR="00805087">
        <w:t xml:space="preserve"> </w:t>
      </w:r>
      <w:r>
        <w:t>B</w:t>
      </w:r>
      <w:r w:rsidR="00805087">
        <w:t>ox</w:t>
      </w:r>
      <w:r w:rsidR="00797816">
        <w:t>,</w:t>
      </w:r>
      <w:r w:rsidR="00780C3D">
        <w:t xml:space="preserve"> </w:t>
      </w:r>
      <w:proofErr w:type="gramStart"/>
      <w:r w:rsidR="00780C3D">
        <w:t>may</w:t>
      </w:r>
      <w:proofErr w:type="gramEnd"/>
      <w:r w:rsidR="00780C3D">
        <w:t xml:space="preserve"> not h</w:t>
      </w:r>
      <w:r>
        <w:t>ave all options in figure depending on configuration</w:t>
      </w:r>
      <w:r w:rsidR="00797816">
        <w:t>)</w:t>
      </w:r>
      <w:r w:rsidR="00805087">
        <w:t xml:space="preserve"> sets up global values for special conditions. </w:t>
      </w:r>
    </w:p>
    <w:p w:rsidR="00051272" w:rsidRDefault="00805087" w:rsidP="00802B1D">
      <w:r>
        <w:t xml:space="preserve">Scan Modes (purple box) </w:t>
      </w:r>
      <w:r w:rsidR="00797816">
        <w:t>opens the actual scanning interface program</w:t>
      </w:r>
      <w:r>
        <w:t xml:space="preserve"> Go. To end program execution, push exit.</w:t>
      </w:r>
    </w:p>
    <w:p w:rsidR="00051272" w:rsidRDefault="00303E9B" w:rsidP="00051272">
      <w:pPr>
        <w:ind w:left="360"/>
        <w:jc w:val="center"/>
      </w:pPr>
      <w:r>
        <w:rPr>
          <w:noProof/>
        </w:rPr>
        <w:pict>
          <v:rect id="_x0000_s1030" style="position:absolute;left:0;text-align:left;margin-left:131.25pt;margin-top:207.05pt;width:112.5pt;height:42.75pt;z-index:251661312" filled="f" strokecolor="#7030a0" strokeweight="3pt"/>
        </w:pict>
      </w:r>
      <w:r>
        <w:rPr>
          <w:noProof/>
        </w:rPr>
        <w:pict>
          <v:rect id="_x0000_s1029" style="position:absolute;left:0;text-align:left;margin-left:249.75pt;margin-top:87.05pt;width:111pt;height:187.5pt;z-index:251660288" filled="f" strokecolor="red" strokeweight="3pt"/>
        </w:pict>
      </w:r>
      <w:r>
        <w:rPr>
          <w:noProof/>
        </w:rPr>
        <w:pict>
          <v:oval id="_x0000_s1026" style="position:absolute;left:0;text-align:left;margin-left:127.5pt;margin-top:24.85pt;width:21.75pt;height:31.5pt;z-index:251658240" filled="f" strokecolor="#00b0f0" strokeweight="3pt"/>
        </w:pict>
      </w:r>
      <w:r w:rsidR="007E6F91">
        <w:rPr>
          <w:noProof/>
        </w:rPr>
        <w:pict>
          <v:rect id="_x0000_s1028" style="position:absolute;left:0;text-align:left;margin-left:131.25pt;margin-top:82.6pt;width:112.5pt;height:117pt;z-index:251659264" filled="f" strokecolor="#76923c [2406]" strokeweight="3pt"/>
        </w:pict>
      </w:r>
      <w:r w:rsidR="00532F66">
        <w:rPr>
          <w:noProof/>
        </w:rPr>
        <w:drawing>
          <wp:inline distT="0" distB="0" distL="0" distR="0">
            <wp:extent cx="3810000" cy="37774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12152" cy="3779567"/>
                    </a:xfrm>
                    <a:prstGeom prst="rect">
                      <a:avLst/>
                    </a:prstGeom>
                    <a:noFill/>
                    <a:ln w="9525">
                      <a:noFill/>
                      <a:miter lim="800000"/>
                      <a:headEnd/>
                      <a:tailEnd/>
                    </a:ln>
                  </pic:spPr>
                </pic:pic>
              </a:graphicData>
            </a:graphic>
          </wp:inline>
        </w:drawing>
      </w:r>
    </w:p>
    <w:p w:rsidR="00805087" w:rsidRDefault="00805087" w:rsidP="00802B1D">
      <w:r>
        <w:lastRenderedPageBreak/>
        <w:t>Rather than go into every operation in detail, make sure that the Show Context Help option under the Help tab is checked. Then, when a mouse is over a control, you will see text describing what the control does and any special considerations that are relevant. For the most part, the context help acts as the documentation.</w:t>
      </w:r>
    </w:p>
    <w:p w:rsidR="00805087" w:rsidRDefault="00495520" w:rsidP="00051272">
      <w:pPr>
        <w:ind w:left="360"/>
        <w:jc w:val="center"/>
      </w:pPr>
      <w:r>
        <w:rPr>
          <w:noProof/>
        </w:rPr>
        <w:drawing>
          <wp:inline distT="0" distB="0" distL="0" distR="0">
            <wp:extent cx="3905250" cy="17069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b="62590"/>
                    <a:stretch>
                      <a:fillRect/>
                    </a:stretch>
                  </pic:blipFill>
                  <pic:spPr bwMode="auto">
                    <a:xfrm>
                      <a:off x="0" y="0"/>
                      <a:ext cx="3905250" cy="1706974"/>
                    </a:xfrm>
                    <a:prstGeom prst="rect">
                      <a:avLst/>
                    </a:prstGeom>
                    <a:noFill/>
                    <a:ln w="9525">
                      <a:noFill/>
                      <a:miter lim="800000"/>
                      <a:headEnd/>
                      <a:tailEnd/>
                    </a:ln>
                  </pic:spPr>
                </pic:pic>
              </a:graphicData>
            </a:graphic>
          </wp:inline>
        </w:drawing>
      </w:r>
    </w:p>
    <w:p w:rsidR="00805087" w:rsidRDefault="00805087" w:rsidP="00805087">
      <w:pPr>
        <w:pStyle w:val="ListParagraph"/>
        <w:numPr>
          <w:ilvl w:val="0"/>
          <w:numId w:val="1"/>
        </w:numPr>
        <w:rPr>
          <w:b/>
          <w:sz w:val="28"/>
        </w:rPr>
      </w:pPr>
      <w:r w:rsidRPr="00805087">
        <w:rPr>
          <w:b/>
          <w:sz w:val="28"/>
        </w:rPr>
        <w:t>Data Acquis</w:t>
      </w:r>
      <w:r>
        <w:rPr>
          <w:b/>
          <w:sz w:val="28"/>
        </w:rPr>
        <w:t>i</w:t>
      </w:r>
      <w:r w:rsidRPr="00805087">
        <w:rPr>
          <w:b/>
          <w:sz w:val="28"/>
        </w:rPr>
        <w:t>tion</w:t>
      </w:r>
    </w:p>
    <w:p w:rsidR="00805087" w:rsidRDefault="00805087" w:rsidP="00805087">
      <w:r>
        <w:t>After pushing Go, you enter the data acquisition and display interface.</w:t>
      </w:r>
    </w:p>
    <w:p w:rsidR="00805087" w:rsidRDefault="00EB349A" w:rsidP="00805087">
      <w:pPr>
        <w:jc w:val="center"/>
      </w:pPr>
      <w:r>
        <w:rPr>
          <w:noProof/>
        </w:rPr>
        <w:pict>
          <v:oval id="_x0000_s1034" style="position:absolute;left:0;text-align:left;margin-left:14.25pt;margin-top:143.7pt;width:114pt;height:18pt;z-index:251665408" filled="f" strokecolor="#622423 [1605]" strokeweight="3pt"/>
        </w:pict>
      </w:r>
      <w:r>
        <w:rPr>
          <w:noProof/>
        </w:rPr>
        <w:pict>
          <v:oval id="_x0000_s1033" style="position:absolute;left:0;text-align:left;margin-left:63.75pt;margin-top:179.7pt;width:55.5pt;height:14.25pt;z-index:251664384" filled="f" strokecolor="#e36c0a [2409]" strokeweight="3pt"/>
        </w:pict>
      </w:r>
      <w:r>
        <w:rPr>
          <w:noProof/>
        </w:rPr>
        <w:pict>
          <v:oval id="_x0000_s1031" style="position:absolute;left:0;text-align:left;margin-left:57pt;margin-top:214.2pt;width:63.75pt;height:22.5pt;z-index:251662336" filled="f" strokecolor="red" strokeweight="3pt"/>
        </w:pict>
      </w:r>
      <w:r>
        <w:rPr>
          <w:noProof/>
        </w:rPr>
        <w:pict>
          <v:oval id="_x0000_s1032" style="position:absolute;left:0;text-align:left;margin-left:356.25pt;margin-top:305.7pt;width:55.5pt;height:15.75pt;z-index:251663360" filled="f" strokecolor="#00b0f0" strokeweight="3pt"/>
        </w:pict>
      </w:r>
      <w:r w:rsidRPr="00EB349A">
        <w:t xml:space="preserve"> </w:t>
      </w:r>
      <w:r>
        <w:rPr>
          <w:noProof/>
        </w:rPr>
        <w:drawing>
          <wp:inline distT="0" distB="0" distL="0" distR="0">
            <wp:extent cx="5943600" cy="44872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87281"/>
                    </a:xfrm>
                    <a:prstGeom prst="rect">
                      <a:avLst/>
                    </a:prstGeom>
                    <a:noFill/>
                    <a:ln w="9525">
                      <a:noFill/>
                      <a:miter lim="800000"/>
                      <a:headEnd/>
                      <a:tailEnd/>
                    </a:ln>
                  </pic:spPr>
                </pic:pic>
              </a:graphicData>
            </a:graphic>
          </wp:inline>
        </w:drawing>
      </w:r>
    </w:p>
    <w:p w:rsidR="00805087" w:rsidRDefault="00805087" w:rsidP="00805087">
      <w:pPr>
        <w:jc w:val="center"/>
      </w:pPr>
    </w:p>
    <w:p w:rsidR="00805087" w:rsidRDefault="005C782B" w:rsidP="005C782B">
      <w:r>
        <w:t>On the left, parameters related to scanning are entered. The parameters will dynamically adjust, based on the scan mode</w:t>
      </w:r>
      <w:r w:rsidR="00797816">
        <w:t xml:space="preserve"> that is selected (brown oval pull down menu)</w:t>
      </w:r>
      <w:r>
        <w:t>. Acquire data by pushing Start Scan (Red oval). Data is stored in a ~\</w:t>
      </w:r>
      <w:proofErr w:type="spellStart"/>
      <w:r>
        <w:t>TempBuff</w:t>
      </w:r>
      <w:proofErr w:type="spellEnd"/>
      <w:r>
        <w:t xml:space="preserve"> until it is saved or erased. Saved date gets saved in ~\Temp. In the lower right corner, there is a </w:t>
      </w:r>
      <w:r w:rsidR="00EB349A">
        <w:t xml:space="preserve">tab for Visualize and a </w:t>
      </w:r>
      <w:r>
        <w:t>control to open</w:t>
      </w:r>
      <w:r w:rsidR="00495520">
        <w:t xml:space="preserve"> </w:t>
      </w:r>
      <w:r>
        <w:t xml:space="preserve">the ViewEye.vi program. This reads the RRI style *.eye files. </w:t>
      </w:r>
      <w:proofErr w:type="spellStart"/>
      <w:r>
        <w:t>ViewEYE</w:t>
      </w:r>
      <w:proofErr w:type="spellEnd"/>
      <w:r>
        <w:t xml:space="preserve"> is also a stand-alone program.</w:t>
      </w:r>
    </w:p>
    <w:p w:rsidR="005C782B" w:rsidRDefault="005C782B" w:rsidP="005C782B">
      <w:r>
        <w:t>The actual RF data is selected by pushing Set Digitizer (orange oval). This opens yet another window where an active RF trace is shown. This window acts more or less like an oscilloscope. The data that will be acquired is between the yellow and red lines in the live trace window.</w:t>
      </w:r>
      <w:r w:rsidR="00EB349A">
        <w:t xml:space="preserve"> If using a </w:t>
      </w:r>
      <w:proofErr w:type="spellStart"/>
      <w:r w:rsidR="00EB349A">
        <w:t>LeCroy</w:t>
      </w:r>
      <w:proofErr w:type="spellEnd"/>
      <w:r w:rsidR="00EB349A">
        <w:t xml:space="preserve">, need to pay close attention to sampling rate and number of pts on the </w:t>
      </w:r>
      <w:proofErr w:type="spellStart"/>
      <w:r w:rsidR="00EB349A">
        <w:t>LeCroy</w:t>
      </w:r>
      <w:proofErr w:type="spellEnd"/>
      <w:r w:rsidR="00EB349A">
        <w:t xml:space="preserve"> itself. These values are interconnected and adjust based on the </w:t>
      </w:r>
      <w:proofErr w:type="spellStart"/>
      <w:r w:rsidR="00EB349A">
        <w:t>timebase</w:t>
      </w:r>
      <w:proofErr w:type="spellEnd"/>
      <w:r w:rsidR="00EB349A">
        <w:t xml:space="preserve"> setting.</w:t>
      </w:r>
    </w:p>
    <w:p w:rsidR="005C782B" w:rsidRDefault="005C782B" w:rsidP="005C782B">
      <w:r>
        <w:t>Most of the information on inputs is visible in the Context Help window</w:t>
      </w:r>
      <w:r w:rsidR="00EB349A">
        <w:t>,</w:t>
      </w:r>
      <w:r>
        <w:t xml:space="preserve"> but it is important to stress that the Sampling Rate represents the sampling rate for when you actually acquire data and not the sampling for the live trace</w:t>
      </w:r>
      <w:r w:rsidR="00EB349A">
        <w:t xml:space="preserve"> (NOTE: This does not apply to the </w:t>
      </w:r>
      <w:proofErr w:type="spellStart"/>
      <w:r w:rsidR="00EB349A">
        <w:t>LeCroy</w:t>
      </w:r>
      <w:proofErr w:type="spellEnd"/>
      <w:r>
        <w:t xml:space="preserve">. </w:t>
      </w:r>
      <w:r w:rsidR="00EB349A">
        <w:t xml:space="preserve">Sampling rate is based on whatever sampling rate the </w:t>
      </w:r>
      <w:proofErr w:type="spellStart"/>
      <w:r w:rsidR="00EB349A">
        <w:t>LeCroy</w:t>
      </w:r>
      <w:proofErr w:type="spellEnd"/>
      <w:r w:rsidR="00EB349A">
        <w:t xml:space="preserve"> is operating at.) </w:t>
      </w:r>
      <w:r>
        <w:t>The live trace is sampled based on the Time Scale per Div setting.</w:t>
      </w:r>
      <w:r w:rsidR="00EB349A">
        <w:t xml:space="preserve"> (NOTE: This value is read of a </w:t>
      </w:r>
      <w:proofErr w:type="spellStart"/>
      <w:r w:rsidR="00EB349A">
        <w:t>LeCroy</w:t>
      </w:r>
      <w:proofErr w:type="spellEnd"/>
      <w:r w:rsidR="00EB349A">
        <w:t xml:space="preserve"> and cannot be set within software.)</w:t>
      </w:r>
    </w:p>
    <w:p w:rsidR="00DF3082" w:rsidRDefault="00DF3082" w:rsidP="005C782B">
      <w:r>
        <w:t>The software</w:t>
      </w:r>
      <w:r w:rsidR="00EB349A">
        <w:t xml:space="preserve"> can handle </w:t>
      </w:r>
      <w:proofErr w:type="spellStart"/>
      <w:r w:rsidR="00EB349A">
        <w:t>Acqiris</w:t>
      </w:r>
      <w:proofErr w:type="spellEnd"/>
      <w:r w:rsidR="00EB349A">
        <w:t xml:space="preserve"> </w:t>
      </w:r>
      <w:proofErr w:type="gramStart"/>
      <w:r w:rsidR="00EB349A">
        <w:t>hardware,</w:t>
      </w:r>
      <w:proofErr w:type="gramEnd"/>
      <w:r>
        <w:t xml:space="preserve"> NI-Scope based digitizers</w:t>
      </w:r>
      <w:r w:rsidR="00EB349A">
        <w:t xml:space="preserve">, and newer </w:t>
      </w:r>
      <w:proofErr w:type="spellStart"/>
      <w:r w:rsidR="00EB349A">
        <w:t>LeCroy</w:t>
      </w:r>
      <w:proofErr w:type="spellEnd"/>
      <w:r w:rsidR="00EB349A">
        <w:t xml:space="preserve"> scopes such as </w:t>
      </w:r>
      <w:proofErr w:type="spellStart"/>
      <w:r w:rsidR="00EB349A">
        <w:t>Waverunner</w:t>
      </w:r>
      <w:proofErr w:type="spellEnd"/>
      <w:r w:rsidR="00EB349A">
        <w:t xml:space="preserve"> 6050</w:t>
      </w:r>
      <w:r>
        <w:t xml:space="preserve">. The software dynamically adjusts to the </w:t>
      </w:r>
      <w:r w:rsidR="00E868D7">
        <w:t>resolution of the digitizer.</w:t>
      </w:r>
    </w:p>
    <w:p w:rsidR="00DF3082" w:rsidRDefault="00E868D7" w:rsidP="005C782B">
      <w:r>
        <w:t xml:space="preserve">Data is saved in binary integer format with a 1024 header. See EyeHeader.xls for header fields. </w:t>
      </w:r>
      <w:proofErr w:type="spellStart"/>
      <w:r>
        <w:t>Labview</w:t>
      </w:r>
      <w:proofErr w:type="spellEnd"/>
      <w:r>
        <w:t xml:space="preserve"> and </w:t>
      </w:r>
      <w:proofErr w:type="spellStart"/>
      <w:r>
        <w:t>Matlab</w:t>
      </w:r>
      <w:proofErr w:type="spellEnd"/>
      <w:r>
        <w:t xml:space="preserve"> routines are available to work with the data.</w:t>
      </w:r>
    </w:p>
    <w:p w:rsidR="00DF3082" w:rsidRDefault="00DF3082" w:rsidP="00DF3082">
      <w:pPr>
        <w:pStyle w:val="ListParagraph"/>
        <w:numPr>
          <w:ilvl w:val="0"/>
          <w:numId w:val="1"/>
        </w:numPr>
        <w:rPr>
          <w:b/>
          <w:sz w:val="28"/>
        </w:rPr>
      </w:pPr>
      <w:r>
        <w:rPr>
          <w:b/>
          <w:sz w:val="28"/>
        </w:rPr>
        <w:t>Cabling</w:t>
      </w:r>
    </w:p>
    <w:p w:rsidR="00DF3082" w:rsidRDefault="00DF3082" w:rsidP="00DF3082">
      <w:r>
        <w:t xml:space="preserve">Cabling depends on location but typically involves some kind of box </w:t>
      </w:r>
      <w:r w:rsidR="00E868D7">
        <w:t xml:space="preserve">that switches programmatically between a fixed </w:t>
      </w:r>
      <w:proofErr w:type="spellStart"/>
      <w:r w:rsidR="007E6F91">
        <w:t>PRF</w:t>
      </w:r>
      <w:r w:rsidR="00E868D7">
        <w:t>source</w:t>
      </w:r>
      <w:proofErr w:type="spellEnd"/>
      <w:r w:rsidR="00E868D7">
        <w:t>,</w:t>
      </w:r>
      <w:r w:rsidR="00D46F0F">
        <w:t xml:space="preserve"> </w:t>
      </w:r>
      <w:r w:rsidR="00E868D7">
        <w:t xml:space="preserve">motion triggers, and gating or other trigger sources. In most cases, the Sync output of a function generator needs to be used and connected to the interface box. </w:t>
      </w:r>
    </w:p>
    <w:p w:rsidR="00E868D7" w:rsidRDefault="00E868D7" w:rsidP="00DF3082">
      <w:r>
        <w:t>Cabling can vary based on configuration but typically has</w:t>
      </w:r>
      <w:r w:rsidR="00780327">
        <w:t xml:space="preserve"> an interface box linked to an NI DAQ card to handle trigger signals</w:t>
      </w:r>
      <w:r>
        <w:t xml:space="preserve"> the trigger from the switch box triggering a</w:t>
      </w:r>
      <w:r w:rsidR="00780327">
        <w:t xml:space="preserve"> pulser/receiver and digitizer.</w:t>
      </w:r>
    </w:p>
    <w:p w:rsidR="00780327" w:rsidRPr="007E6F91" w:rsidRDefault="00780327" w:rsidP="00DF3082">
      <w:pPr>
        <w:rPr>
          <w:u w:val="single"/>
        </w:rPr>
      </w:pPr>
      <w:r w:rsidRPr="007E6F91">
        <w:rPr>
          <w:u w:val="single"/>
        </w:rPr>
        <w:t>Inputs:</w:t>
      </w:r>
    </w:p>
    <w:p w:rsidR="00780327" w:rsidRDefault="00780327" w:rsidP="007E6F91">
      <w:pPr>
        <w:spacing w:line="240" w:lineRule="auto"/>
      </w:pPr>
      <w:r>
        <w:t>Motion Trigger: This comes from the motion unit and carries the spatial triggers.</w:t>
      </w:r>
    </w:p>
    <w:p w:rsidR="00780327" w:rsidRDefault="00780327" w:rsidP="007E6F91">
      <w:pPr>
        <w:spacing w:line="240" w:lineRule="auto"/>
      </w:pPr>
      <w:r>
        <w:t xml:space="preserve">Function Generator Synch: Used as the PRF source if unless the system is using an internal counter as the PRF source. (This is selected in </w:t>
      </w:r>
      <w:proofErr w:type="spellStart"/>
      <w:r>
        <w:t>AcqControl</w:t>
      </w:r>
      <w:proofErr w:type="spellEnd"/>
      <w:r>
        <w:t xml:space="preserve"> if a change from default is needed).</w:t>
      </w:r>
    </w:p>
    <w:p w:rsidR="00780327" w:rsidRDefault="00780327" w:rsidP="007E6F91">
      <w:pPr>
        <w:spacing w:line="240" w:lineRule="auto"/>
      </w:pPr>
      <w:r>
        <w:t>EXT Trig: This is a gate signal that can be added as an extra layer of trigger. Acquisition is held up until the gate trigger is detected.</w:t>
      </w:r>
    </w:p>
    <w:p w:rsidR="00780327" w:rsidRDefault="00780327" w:rsidP="00DF3082">
      <w:r w:rsidRPr="007E6F91">
        <w:rPr>
          <w:u w:val="single"/>
        </w:rPr>
        <w:t>Outputs</w:t>
      </w:r>
      <w:r>
        <w:t>:</w:t>
      </w:r>
    </w:p>
    <w:p w:rsidR="00780327" w:rsidRDefault="00780327" w:rsidP="007E6F91">
      <w:pPr>
        <w:spacing w:line="240" w:lineRule="auto"/>
      </w:pPr>
      <w:r>
        <w:lastRenderedPageBreak/>
        <w:t>System Trigger: This is the output that goes to digitizer and pulser/receiver. It passes trigger based on the scan mode.</w:t>
      </w:r>
    </w:p>
    <w:p w:rsidR="00780327" w:rsidRDefault="00780327" w:rsidP="007E6F91">
      <w:pPr>
        <w:spacing w:line="240" w:lineRule="auto"/>
      </w:pPr>
      <w:r>
        <w:t xml:space="preserve">CTR output: This is an alternate trigger used for some special cases such as </w:t>
      </w:r>
      <w:proofErr w:type="spellStart"/>
      <w:r>
        <w:t>MultiLine</w:t>
      </w:r>
      <w:proofErr w:type="spellEnd"/>
      <w:r>
        <w:t xml:space="preserve"> triggering.</w:t>
      </w:r>
    </w:p>
    <w:p w:rsidR="00E868D7" w:rsidRPr="00E868D7" w:rsidRDefault="00E868D7" w:rsidP="00DF3082">
      <w:pPr>
        <w:pStyle w:val="ListParagraph"/>
        <w:numPr>
          <w:ilvl w:val="0"/>
          <w:numId w:val="1"/>
        </w:numPr>
      </w:pPr>
      <w:r>
        <w:rPr>
          <w:b/>
          <w:sz w:val="28"/>
        </w:rPr>
        <w:t>Software</w:t>
      </w:r>
    </w:p>
    <w:p w:rsidR="005375C1" w:rsidRPr="00805087" w:rsidRDefault="00E868D7" w:rsidP="005C782B">
      <w:r>
        <w:t xml:space="preserve">Besides </w:t>
      </w:r>
      <w:proofErr w:type="spellStart"/>
      <w:r>
        <w:t>LabVIEW</w:t>
      </w:r>
      <w:proofErr w:type="spellEnd"/>
      <w:r>
        <w:t xml:space="preserve"> </w:t>
      </w:r>
      <w:r w:rsidR="00E12D0F">
        <w:t>201</w:t>
      </w:r>
      <w:r w:rsidR="00EB349A">
        <w:t>2</w:t>
      </w:r>
      <w:r>
        <w:t xml:space="preserve"> or the </w:t>
      </w:r>
      <w:r w:rsidR="00E12D0F">
        <w:t>201</w:t>
      </w:r>
      <w:r w:rsidR="00EB349A">
        <w:t>2</w:t>
      </w:r>
      <w:r>
        <w:t xml:space="preserve"> </w:t>
      </w:r>
      <w:proofErr w:type="spellStart"/>
      <w:r>
        <w:t>RunTimeEngine</w:t>
      </w:r>
      <w:proofErr w:type="spellEnd"/>
      <w:r>
        <w:t xml:space="preserve">, the </w:t>
      </w:r>
      <w:r w:rsidR="00780C3D">
        <w:t>M</w:t>
      </w:r>
      <w:r>
        <w:t xml:space="preserve">easurement and </w:t>
      </w:r>
      <w:r w:rsidR="00780C3D">
        <w:t>A</w:t>
      </w:r>
      <w:r>
        <w:t>utomation Explorer needs to be installed</w:t>
      </w:r>
      <w:r w:rsidR="00780C3D">
        <w:t xml:space="preserve"> (Download </w:t>
      </w:r>
      <w:r w:rsidR="00E12D0F">
        <w:t xml:space="preserve">latest version </w:t>
      </w:r>
      <w:r w:rsidR="00780C3D">
        <w:t>or use the NI Device Driver Install CD</w:t>
      </w:r>
      <w:r w:rsidR="00E12D0F">
        <w:t xml:space="preserve"> if you recently purchased something from NI</w:t>
      </w:r>
      <w:r w:rsidR="007E6F91">
        <w:t xml:space="preserve">. A fresh </w:t>
      </w:r>
      <w:proofErr w:type="spellStart"/>
      <w:r w:rsidR="007E6F91">
        <w:t>LabVIEW</w:t>
      </w:r>
      <w:proofErr w:type="spellEnd"/>
      <w:r w:rsidR="007E6F91">
        <w:t xml:space="preserve"> install will install all the components</w:t>
      </w:r>
      <w:r w:rsidR="00780C3D">
        <w:t>)</w:t>
      </w:r>
      <w:r>
        <w:t xml:space="preserve">. The NI components for </w:t>
      </w:r>
      <w:r w:rsidR="00780C3D">
        <w:t>NI-</w:t>
      </w:r>
      <w:r>
        <w:t xml:space="preserve">VISA, NI-Scope, NI-Motion and NI-Switch should be </w:t>
      </w:r>
      <w:r w:rsidR="00780C3D">
        <w:t xml:space="preserve">selected and </w:t>
      </w:r>
      <w:r>
        <w:t>installed</w:t>
      </w:r>
      <w:r w:rsidR="00361085">
        <w:t xml:space="preserve"> during the install process</w:t>
      </w:r>
      <w:r>
        <w:t xml:space="preserve">. </w:t>
      </w:r>
      <w:r w:rsidR="00361085">
        <w:t xml:space="preserve">They are listed under NI Devices. </w:t>
      </w:r>
      <w:r>
        <w:t>In addition</w:t>
      </w:r>
      <w:r w:rsidR="00780C3D">
        <w:t>, Pickering Switch</w:t>
      </w:r>
      <w:r w:rsidR="00361085">
        <w:t xml:space="preserve"> (</w:t>
      </w:r>
      <w:r w:rsidR="00361085" w:rsidRPr="00361085">
        <w:t>pipx40vpp-31</w:t>
      </w:r>
      <w:r w:rsidR="00361085">
        <w:t>.exe)</w:t>
      </w:r>
      <w:r w:rsidR="00780C3D">
        <w:t xml:space="preserve">, </w:t>
      </w:r>
      <w:proofErr w:type="spellStart"/>
      <w:r w:rsidR="00780C3D">
        <w:t>Acqiris</w:t>
      </w:r>
      <w:proofErr w:type="spellEnd"/>
      <w:r w:rsidR="00780C3D">
        <w:t xml:space="preserve"> </w:t>
      </w:r>
      <w:r w:rsidR="00EB349A">
        <w:t>4.2</w:t>
      </w:r>
      <w:r w:rsidR="00361085">
        <w:t xml:space="preserve">a </w:t>
      </w:r>
      <w:r w:rsidR="00780C3D">
        <w:t>(8 and 12 bit drive</w:t>
      </w:r>
      <w:r w:rsidR="00361085">
        <w:t>r</w:t>
      </w:r>
      <w:r w:rsidR="00780C3D">
        <w:t>s)</w:t>
      </w:r>
      <w:r>
        <w:t xml:space="preserve">, and Tabor 1281A </w:t>
      </w:r>
      <w:r w:rsidR="00361085">
        <w:t>(</w:t>
      </w:r>
      <w:r w:rsidR="00361085" w:rsidRPr="00361085">
        <w:t>WW1281_2_ww1281drv.exe</w:t>
      </w:r>
      <w:r w:rsidR="00361085">
        <w:t xml:space="preserve">) </w:t>
      </w:r>
      <w:r>
        <w:t>drivers need to be installed.</w:t>
      </w:r>
      <w:r w:rsidR="00EB349A">
        <w:t xml:space="preserve"> </w:t>
      </w:r>
      <w:proofErr w:type="gramStart"/>
      <w:r w:rsidR="00EB349A">
        <w:t xml:space="preserve">Also, </w:t>
      </w:r>
      <w:r w:rsidR="00EB349A" w:rsidRPr="00EB349A">
        <w:t>LeCroyScope.3.0.9.0.msi</w:t>
      </w:r>
      <w:r w:rsidR="00EB349A">
        <w:t xml:space="preserve"> and </w:t>
      </w:r>
      <w:r w:rsidR="00EB349A" w:rsidRPr="00EB349A">
        <w:t>LeCroyVICPPassportInstaller.exe</w:t>
      </w:r>
      <w:r w:rsidR="00EB349A">
        <w:t xml:space="preserve"> and needed.</w:t>
      </w:r>
      <w:proofErr w:type="gramEnd"/>
      <w:r w:rsidR="00EB349A">
        <w:t xml:space="preserve"> All these components need to be installed even if hardware is not used.</w:t>
      </w:r>
    </w:p>
    <w:sectPr w:rsidR="005375C1" w:rsidRPr="00805087" w:rsidSect="0032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1E9D"/>
    <w:multiLevelType w:val="hybridMultilevel"/>
    <w:tmpl w:val="3F30A922"/>
    <w:lvl w:ilvl="0" w:tplc="FF341B7A">
      <w:start w:val="1"/>
      <w:numFmt w:val="decimal"/>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90464"/>
    <w:multiLevelType w:val="hybridMultilevel"/>
    <w:tmpl w:val="B2A8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A660F"/>
    <w:multiLevelType w:val="hybridMultilevel"/>
    <w:tmpl w:val="B2A8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272"/>
    <w:rsid w:val="000462DA"/>
    <w:rsid w:val="00051272"/>
    <w:rsid w:val="000F3D34"/>
    <w:rsid w:val="00104977"/>
    <w:rsid w:val="001A51D7"/>
    <w:rsid w:val="002D33A8"/>
    <w:rsid w:val="00303E9B"/>
    <w:rsid w:val="00327167"/>
    <w:rsid w:val="00361085"/>
    <w:rsid w:val="00495520"/>
    <w:rsid w:val="00532F66"/>
    <w:rsid w:val="005375C1"/>
    <w:rsid w:val="005C782B"/>
    <w:rsid w:val="00654BD3"/>
    <w:rsid w:val="006A25CE"/>
    <w:rsid w:val="007734DD"/>
    <w:rsid w:val="00780327"/>
    <w:rsid w:val="00780C3D"/>
    <w:rsid w:val="00797816"/>
    <w:rsid w:val="007E6F91"/>
    <w:rsid w:val="00802B1D"/>
    <w:rsid w:val="00805087"/>
    <w:rsid w:val="00AA3BF8"/>
    <w:rsid w:val="00AE269A"/>
    <w:rsid w:val="00B1755A"/>
    <w:rsid w:val="00D46F0F"/>
    <w:rsid w:val="00DE1C23"/>
    <w:rsid w:val="00DF3082"/>
    <w:rsid w:val="00E12D0F"/>
    <w:rsid w:val="00E868D7"/>
    <w:rsid w:val="00EB349A"/>
    <w:rsid w:val="00EE5901"/>
    <w:rsid w:val="00F71F71"/>
    <w:rsid w:val="00F9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16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72"/>
    <w:pPr>
      <w:ind w:left="720"/>
      <w:contextualSpacing/>
    </w:pPr>
  </w:style>
  <w:style w:type="paragraph" w:styleId="BalloonText">
    <w:name w:val="Balloon Text"/>
    <w:basedOn w:val="Normal"/>
    <w:link w:val="BalloonTextChar"/>
    <w:uiPriority w:val="99"/>
    <w:semiHidden/>
    <w:unhideWhenUsed/>
    <w:rsid w:val="00051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E2BF5-A582-48EC-A0A0-A124BD4F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Riverside Research Institute</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Kettelring</dc:creator>
  <cp:lastModifiedBy>jketterling</cp:lastModifiedBy>
  <cp:revision>5</cp:revision>
  <dcterms:created xsi:type="dcterms:W3CDTF">2012-11-26T16:09:00Z</dcterms:created>
  <dcterms:modified xsi:type="dcterms:W3CDTF">2012-11-26T16:40:00Z</dcterms:modified>
</cp:coreProperties>
</file>