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4DEFC" w14:textId="77777777" w:rsidR="00F25CCE" w:rsidRDefault="00F25CCE" w:rsidP="00F25CCE">
      <w:pPr>
        <w:spacing w:after="884" w:line="259" w:lineRule="auto"/>
        <w:ind w:left="3031" w:firstLine="0"/>
        <w:jc w:val="left"/>
      </w:pPr>
      <w:r>
        <w:rPr>
          <w:noProof/>
        </w:rPr>
        <w:drawing>
          <wp:inline distT="0" distB="0" distL="0" distR="0" wp14:anchorId="1AB77BB7" wp14:editId="0C11E942">
            <wp:extent cx="1911219" cy="1583829"/>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1911219" cy="1583829"/>
                    </a:xfrm>
                    <a:prstGeom prst="rect">
                      <a:avLst/>
                    </a:prstGeom>
                  </pic:spPr>
                </pic:pic>
              </a:graphicData>
            </a:graphic>
          </wp:inline>
        </w:drawing>
      </w:r>
    </w:p>
    <w:p w14:paraId="57DB2ABC" w14:textId="77777777" w:rsidR="00F25CCE" w:rsidRDefault="00F25CCE" w:rsidP="00F25CCE">
      <w:pPr>
        <w:spacing w:after="120" w:line="259" w:lineRule="auto"/>
        <w:ind w:left="0" w:right="1525" w:firstLine="0"/>
        <w:jc w:val="right"/>
      </w:pPr>
      <w:r>
        <w:rPr>
          <w:color w:val="5A5A5A"/>
          <w:sz w:val="18"/>
        </w:rPr>
        <w:t>MAGÍSTER EN CIENCIA DE DATOS E INTELIGENCIA ARTIFICIAL</w:t>
      </w:r>
    </w:p>
    <w:p w14:paraId="0E034930" w14:textId="77777777" w:rsidR="00F25CCE" w:rsidRDefault="00F25CCE" w:rsidP="00F25CCE">
      <w:pPr>
        <w:spacing w:after="1168" w:line="259" w:lineRule="auto"/>
        <w:ind w:left="0" w:right="1855" w:firstLine="0"/>
        <w:jc w:val="right"/>
      </w:pPr>
      <w:r>
        <w:rPr>
          <w:color w:val="969696"/>
          <w:sz w:val="18"/>
        </w:rPr>
        <w:t>MCDI501: Estadística Computacional para la Toma de Decisiones</w:t>
      </w:r>
    </w:p>
    <w:p w14:paraId="2F1B7694" w14:textId="77777777" w:rsidR="00F25CCE" w:rsidRDefault="00F25CCE" w:rsidP="00F25CCE">
      <w:pPr>
        <w:spacing w:after="148" w:line="259" w:lineRule="auto"/>
        <w:ind w:left="2906" w:firstLine="0"/>
        <w:jc w:val="left"/>
      </w:pPr>
      <w:r>
        <w:rPr>
          <w:sz w:val="29"/>
        </w:rPr>
        <w:t>Evaluación Formativa 1</w:t>
      </w:r>
    </w:p>
    <w:p w14:paraId="4BA0D1D3" w14:textId="77777777" w:rsidR="00F25CCE" w:rsidRDefault="00F25CCE" w:rsidP="00F25CCE">
      <w:pPr>
        <w:spacing w:after="523" w:line="259" w:lineRule="auto"/>
        <w:ind w:left="0" w:firstLine="0"/>
        <w:jc w:val="center"/>
        <w:rPr>
          <w:sz w:val="24"/>
        </w:rPr>
      </w:pPr>
      <w:r>
        <w:rPr>
          <w:sz w:val="24"/>
        </w:rPr>
        <w:t>Análisis Exploratorio e Inferencial (práctica)</w:t>
      </w:r>
    </w:p>
    <w:p w14:paraId="739E5F1F" w14:textId="77777777" w:rsidR="00F25CCE" w:rsidRDefault="00F25CCE" w:rsidP="00F25CCE">
      <w:pPr>
        <w:spacing w:after="523" w:line="259" w:lineRule="auto"/>
        <w:ind w:left="0" w:firstLine="0"/>
        <w:jc w:val="center"/>
        <w:rPr>
          <w:i/>
          <w:color w:val="5A5A5A"/>
          <w:sz w:val="20"/>
        </w:rPr>
      </w:pPr>
      <w:proofErr w:type="gramStart"/>
      <w:r>
        <w:rPr>
          <w:i/>
          <w:color w:val="5A5A5A"/>
          <w:sz w:val="20"/>
        </w:rPr>
        <w:t>Informe  grupal</w:t>
      </w:r>
      <w:proofErr w:type="gramEnd"/>
    </w:p>
    <w:p w14:paraId="1DB40F71" w14:textId="77777777" w:rsidR="00F25CCE" w:rsidRDefault="00F25CCE" w:rsidP="00F25CCE">
      <w:pPr>
        <w:spacing w:after="523" w:line="259" w:lineRule="auto"/>
        <w:ind w:left="0" w:firstLine="0"/>
        <w:jc w:val="center"/>
        <w:rPr>
          <w:i/>
          <w:color w:val="5A5A5A"/>
          <w:sz w:val="20"/>
        </w:rPr>
      </w:pPr>
    </w:p>
    <w:p w14:paraId="1FC11A2D" w14:textId="77777777" w:rsidR="00F25CCE" w:rsidRDefault="00F25CCE" w:rsidP="00F25CCE">
      <w:pPr>
        <w:spacing w:after="523" w:line="259" w:lineRule="auto"/>
        <w:ind w:left="0" w:firstLine="0"/>
        <w:jc w:val="center"/>
      </w:pPr>
    </w:p>
    <w:p w14:paraId="4E15E5B2" w14:textId="4CC2A589" w:rsidR="00F25CCE" w:rsidRDefault="00F25CCE" w:rsidP="00F25CCE">
      <w:pPr>
        <w:spacing w:after="112"/>
        <w:ind w:left="-15" w:firstLine="0"/>
        <w:jc w:val="left"/>
      </w:pPr>
      <w:r>
        <w:t>Título del proyecto</w:t>
      </w:r>
      <w:r>
        <w:tab/>
      </w:r>
      <w:r>
        <w:t>:</w:t>
      </w:r>
      <w:r>
        <w:tab/>
      </w:r>
      <w:r w:rsidRPr="00F25CCE">
        <w:t>Análisis Estadístico e Inferencial para la Predicción de Lluvias en Australia</w:t>
      </w:r>
    </w:p>
    <w:p w14:paraId="3919C417" w14:textId="5C49632E" w:rsidR="00F25CCE" w:rsidRDefault="00F25CCE" w:rsidP="00F25CCE">
      <w:pPr>
        <w:spacing w:after="104"/>
        <w:ind w:left="-15" w:firstLine="0"/>
        <w:jc w:val="left"/>
      </w:pPr>
      <w:r>
        <w:t>Integrantes</w:t>
      </w:r>
      <w:r>
        <w:tab/>
      </w:r>
      <w:r>
        <w:tab/>
      </w:r>
      <w:r>
        <w:t>:</w:t>
      </w:r>
      <w:r>
        <w:tab/>
      </w:r>
      <w:r w:rsidRPr="00F25CCE">
        <w:t>Gonzalo Bouldres; Eduardo Contreras; Luis Díaz Giral</w:t>
      </w:r>
    </w:p>
    <w:p w14:paraId="2C848BCF" w14:textId="62675792" w:rsidR="00F25CCE" w:rsidRPr="00F25CCE" w:rsidRDefault="00F25CCE" w:rsidP="00F25CCE">
      <w:pPr>
        <w:spacing w:after="109"/>
        <w:ind w:left="-15" w:firstLine="0"/>
        <w:jc w:val="left"/>
      </w:pPr>
      <w:proofErr w:type="spellStart"/>
      <w:r w:rsidRPr="00F25CCE">
        <w:t>Dataset</w:t>
      </w:r>
      <w:proofErr w:type="spellEnd"/>
      <w:r w:rsidRPr="00F25CCE">
        <w:tab/>
      </w:r>
      <w:r w:rsidRPr="00F25CCE">
        <w:tab/>
      </w:r>
      <w:r w:rsidRPr="00F25CCE">
        <w:tab/>
      </w:r>
      <w:r w:rsidRPr="00F25CCE">
        <w:t>:</w:t>
      </w:r>
      <w:r w:rsidRPr="00F25CCE">
        <w:tab/>
        <w:t>Rain in Australia</w:t>
      </w:r>
      <w:r w:rsidRPr="00F25CCE">
        <w:t xml:space="preserve"> (</w:t>
      </w:r>
      <w:r>
        <w:t>L</w:t>
      </w:r>
      <w:r w:rsidRPr="00F25CCE">
        <w:t>lu</w:t>
      </w:r>
      <w:r>
        <w:t>v</w:t>
      </w:r>
      <w:r w:rsidRPr="00F25CCE">
        <w:t>ia e</w:t>
      </w:r>
      <w:r>
        <w:t>n Australia)</w:t>
      </w:r>
    </w:p>
    <w:p w14:paraId="73F45BCA" w14:textId="07BC3912" w:rsidR="00F25CCE" w:rsidRDefault="00F25CCE" w:rsidP="00F25CCE">
      <w:pPr>
        <w:spacing w:line="357" w:lineRule="auto"/>
        <w:ind w:left="-5" w:right="3817"/>
      </w:pPr>
      <w:r>
        <w:t>Docente</w:t>
      </w:r>
      <w:r>
        <w:tab/>
      </w:r>
      <w:r>
        <w:tab/>
      </w:r>
      <w:r>
        <w:t>:</w:t>
      </w:r>
      <w:r>
        <w:tab/>
      </w:r>
      <w:r>
        <w:t>Jean Paul Maidana G.</w:t>
      </w:r>
      <w:r>
        <w:t xml:space="preserve"> Fecha</w:t>
      </w:r>
      <w:r>
        <w:tab/>
      </w:r>
      <w:r>
        <w:tab/>
      </w:r>
      <w:r>
        <w:tab/>
      </w:r>
      <w:r>
        <w:t>:</w:t>
      </w:r>
      <w:r>
        <w:tab/>
      </w:r>
      <w:r>
        <w:t>28/06/2026</w:t>
      </w:r>
    </w:p>
    <w:p w14:paraId="00723B30" w14:textId="77777777" w:rsidR="00F25CCE" w:rsidRDefault="00F25CCE" w:rsidP="00F25CCE">
      <w:pPr>
        <w:spacing w:line="357" w:lineRule="auto"/>
        <w:ind w:left="-5" w:right="3817"/>
      </w:pPr>
    </w:p>
    <w:p w14:paraId="483CDEE9" w14:textId="77777777" w:rsidR="00F25CCE" w:rsidRDefault="00F25CCE" w:rsidP="00F25CCE">
      <w:pPr>
        <w:spacing w:after="124" w:line="259" w:lineRule="auto"/>
        <w:ind w:left="0" w:firstLine="0"/>
        <w:jc w:val="left"/>
        <w:rPr>
          <w:color w:val="FFFFFF"/>
        </w:rPr>
      </w:pPr>
      <w:r>
        <w:t>Repositorio GitHub</w:t>
      </w:r>
      <w:proofErr w:type="gramStart"/>
      <w:r>
        <w:tab/>
      </w:r>
      <w:r>
        <w:t>:</w:t>
      </w:r>
      <w:r>
        <w:rPr>
          <w:color w:val="FFFFFF"/>
        </w:rPr>
        <w:t>Información</w:t>
      </w:r>
      <w:proofErr w:type="gramEnd"/>
      <w:r>
        <w:rPr>
          <w:color w:val="FFFFFF"/>
        </w:rPr>
        <w:t xml:space="preserve"> de la </w:t>
      </w:r>
      <w:proofErr w:type="spellStart"/>
      <w:r>
        <w:rPr>
          <w:color w:val="FFFFFF"/>
        </w:rPr>
        <w:t>evalua</w:t>
      </w:r>
      <w:proofErr w:type="spellEnd"/>
    </w:p>
    <w:p w14:paraId="6A2A3C2B" w14:textId="4A39C6A0" w:rsidR="00F25CCE" w:rsidRPr="003B0DF5" w:rsidRDefault="00F25CCE">
      <w:pPr>
        <w:spacing w:after="160" w:line="278" w:lineRule="auto"/>
        <w:ind w:left="0" w:firstLine="0"/>
        <w:jc w:val="left"/>
        <w:rPr>
          <w:color w:val="auto"/>
        </w:rPr>
      </w:pPr>
      <w:r w:rsidRPr="003B0DF5">
        <w:rPr>
          <w:color w:val="auto"/>
        </w:rPr>
        <w:br w:type="page"/>
      </w:r>
    </w:p>
    <w:p w14:paraId="39555C02" w14:textId="4577F8C2" w:rsidR="00F25CCE" w:rsidRDefault="003B0DF5" w:rsidP="003B0DF5">
      <w:pPr>
        <w:pStyle w:val="Ttulo2"/>
        <w:jc w:val="right"/>
      </w:pPr>
      <w:bookmarkStart w:id="0" w:name="_Toc233549193"/>
      <w:proofErr w:type="spellStart"/>
      <w:r>
        <w:lastRenderedPageBreak/>
        <w:t>Indice</w:t>
      </w:r>
      <w:bookmarkEnd w:id="0"/>
      <w:proofErr w:type="spellEnd"/>
    </w:p>
    <w:p w14:paraId="579FA95B" w14:textId="77777777" w:rsidR="003B0DF5" w:rsidRDefault="003B0DF5" w:rsidP="003B0DF5">
      <w:pPr>
        <w:rPr>
          <w:lang w:eastAsia="en-US"/>
        </w:rPr>
      </w:pPr>
    </w:p>
    <w:sdt>
      <w:sdtPr>
        <w:rPr>
          <w:lang w:val="es-ES"/>
        </w:rPr>
        <w:id w:val="-1166780794"/>
        <w:docPartObj>
          <w:docPartGallery w:val="Table of Contents"/>
          <w:docPartUnique/>
        </w:docPartObj>
      </w:sdtPr>
      <w:sdtEndPr>
        <w:rPr>
          <w:rFonts w:ascii="Calibri" w:eastAsia="Calibri" w:hAnsi="Calibri" w:cs="Calibri"/>
          <w:b/>
          <w:bCs/>
          <w:color w:val="000000"/>
          <w:kern w:val="2"/>
          <w:sz w:val="22"/>
          <w:szCs w:val="24"/>
          <w14:ligatures w14:val="standardContextual"/>
        </w:rPr>
      </w:sdtEndPr>
      <w:sdtContent>
        <w:p w14:paraId="0997F808" w14:textId="4572B946" w:rsidR="003B0DF5" w:rsidRDefault="003B0DF5">
          <w:pPr>
            <w:pStyle w:val="TtuloTDC"/>
          </w:pPr>
          <w:r>
            <w:rPr>
              <w:lang w:val="es-ES"/>
            </w:rPr>
            <w:t>Tabla de contenido</w:t>
          </w:r>
        </w:p>
        <w:p w14:paraId="0BF8B6C1" w14:textId="71802EBA" w:rsidR="002065AB" w:rsidRDefault="003B0DF5">
          <w:pPr>
            <w:pStyle w:val="TDC2"/>
            <w:tabs>
              <w:tab w:val="right" w:leader="dot" w:pos="8828"/>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33549193" w:history="1">
            <w:r w:rsidR="002065AB" w:rsidRPr="00E94B52">
              <w:rPr>
                <w:rStyle w:val="Hipervnculo"/>
                <w:noProof/>
              </w:rPr>
              <w:t>Indice</w:t>
            </w:r>
            <w:r w:rsidR="002065AB">
              <w:rPr>
                <w:noProof/>
                <w:webHidden/>
              </w:rPr>
              <w:tab/>
            </w:r>
            <w:r w:rsidR="002065AB">
              <w:rPr>
                <w:noProof/>
                <w:webHidden/>
              </w:rPr>
              <w:fldChar w:fldCharType="begin"/>
            </w:r>
            <w:r w:rsidR="002065AB">
              <w:rPr>
                <w:noProof/>
                <w:webHidden/>
              </w:rPr>
              <w:instrText xml:space="preserve"> PAGEREF _Toc233549193 \h </w:instrText>
            </w:r>
            <w:r w:rsidR="002065AB">
              <w:rPr>
                <w:noProof/>
                <w:webHidden/>
              </w:rPr>
            </w:r>
            <w:r w:rsidR="002065AB">
              <w:rPr>
                <w:noProof/>
                <w:webHidden/>
              </w:rPr>
              <w:fldChar w:fldCharType="separate"/>
            </w:r>
            <w:r w:rsidR="002065AB">
              <w:rPr>
                <w:noProof/>
                <w:webHidden/>
              </w:rPr>
              <w:t>1</w:t>
            </w:r>
            <w:r w:rsidR="002065AB">
              <w:rPr>
                <w:noProof/>
                <w:webHidden/>
              </w:rPr>
              <w:fldChar w:fldCharType="end"/>
            </w:r>
          </w:hyperlink>
        </w:p>
        <w:p w14:paraId="5F87CBE6" w14:textId="18B54157" w:rsidR="002065AB" w:rsidRDefault="002065AB">
          <w:pPr>
            <w:pStyle w:val="TDC2"/>
            <w:tabs>
              <w:tab w:val="left" w:pos="720"/>
              <w:tab w:val="right" w:leader="dot" w:pos="8828"/>
            </w:tabs>
            <w:rPr>
              <w:rFonts w:asciiTheme="minorHAnsi" w:eastAsiaTheme="minorEastAsia" w:hAnsiTheme="minorHAnsi" w:cstheme="minorBidi"/>
              <w:noProof/>
              <w:color w:val="auto"/>
              <w:sz w:val="24"/>
            </w:rPr>
          </w:pPr>
          <w:hyperlink w:anchor="_Toc233549194" w:history="1">
            <w:r w:rsidRPr="00E94B52">
              <w:rPr>
                <w:rStyle w:val="Hipervnculo"/>
                <w:noProof/>
              </w:rPr>
              <w:t>1.</w:t>
            </w:r>
            <w:r>
              <w:rPr>
                <w:rFonts w:asciiTheme="minorHAnsi" w:eastAsiaTheme="minorEastAsia" w:hAnsiTheme="minorHAnsi" w:cstheme="minorBidi"/>
                <w:noProof/>
                <w:color w:val="auto"/>
                <w:sz w:val="24"/>
              </w:rPr>
              <w:tab/>
            </w:r>
            <w:r w:rsidRPr="00E94B52">
              <w:rPr>
                <w:rStyle w:val="Hipervnculo"/>
                <w:noProof/>
              </w:rPr>
              <w:t>Introducción y Contexto del Problema</w:t>
            </w:r>
            <w:r>
              <w:rPr>
                <w:noProof/>
                <w:webHidden/>
              </w:rPr>
              <w:tab/>
            </w:r>
            <w:r>
              <w:rPr>
                <w:noProof/>
                <w:webHidden/>
              </w:rPr>
              <w:fldChar w:fldCharType="begin"/>
            </w:r>
            <w:r>
              <w:rPr>
                <w:noProof/>
                <w:webHidden/>
              </w:rPr>
              <w:instrText xml:space="preserve"> PAGEREF _Toc233549194 \h </w:instrText>
            </w:r>
            <w:r>
              <w:rPr>
                <w:noProof/>
                <w:webHidden/>
              </w:rPr>
            </w:r>
            <w:r>
              <w:rPr>
                <w:noProof/>
                <w:webHidden/>
              </w:rPr>
              <w:fldChar w:fldCharType="separate"/>
            </w:r>
            <w:r>
              <w:rPr>
                <w:noProof/>
                <w:webHidden/>
              </w:rPr>
              <w:t>2</w:t>
            </w:r>
            <w:r>
              <w:rPr>
                <w:noProof/>
                <w:webHidden/>
              </w:rPr>
              <w:fldChar w:fldCharType="end"/>
            </w:r>
          </w:hyperlink>
        </w:p>
        <w:p w14:paraId="77A622D3" w14:textId="7B884C03" w:rsidR="002065AB" w:rsidRDefault="002065AB">
          <w:pPr>
            <w:pStyle w:val="TDC2"/>
            <w:tabs>
              <w:tab w:val="left" w:pos="720"/>
              <w:tab w:val="right" w:leader="dot" w:pos="8828"/>
            </w:tabs>
            <w:rPr>
              <w:rFonts w:asciiTheme="minorHAnsi" w:eastAsiaTheme="minorEastAsia" w:hAnsiTheme="minorHAnsi" w:cstheme="minorBidi"/>
              <w:noProof/>
              <w:color w:val="auto"/>
              <w:sz w:val="24"/>
            </w:rPr>
          </w:pPr>
          <w:hyperlink w:anchor="_Toc233549195" w:history="1">
            <w:r w:rsidRPr="00E94B52">
              <w:rPr>
                <w:rStyle w:val="Hipervnculo"/>
                <w:noProof/>
              </w:rPr>
              <w:t>2.</w:t>
            </w:r>
            <w:r>
              <w:rPr>
                <w:rFonts w:asciiTheme="minorHAnsi" w:eastAsiaTheme="minorEastAsia" w:hAnsiTheme="minorHAnsi" w:cstheme="minorBidi"/>
                <w:noProof/>
                <w:color w:val="auto"/>
                <w:sz w:val="24"/>
              </w:rPr>
              <w:tab/>
            </w:r>
            <w:r w:rsidRPr="00E94B52">
              <w:rPr>
                <w:rStyle w:val="Hipervnculo"/>
                <w:noProof/>
              </w:rPr>
              <w:t>Aplicación de Estadística Descriptiva</w:t>
            </w:r>
            <w:r>
              <w:rPr>
                <w:noProof/>
                <w:webHidden/>
              </w:rPr>
              <w:tab/>
            </w:r>
            <w:r>
              <w:rPr>
                <w:noProof/>
                <w:webHidden/>
              </w:rPr>
              <w:fldChar w:fldCharType="begin"/>
            </w:r>
            <w:r>
              <w:rPr>
                <w:noProof/>
                <w:webHidden/>
              </w:rPr>
              <w:instrText xml:space="preserve"> PAGEREF _Toc233549195 \h </w:instrText>
            </w:r>
            <w:r>
              <w:rPr>
                <w:noProof/>
                <w:webHidden/>
              </w:rPr>
            </w:r>
            <w:r>
              <w:rPr>
                <w:noProof/>
                <w:webHidden/>
              </w:rPr>
              <w:fldChar w:fldCharType="separate"/>
            </w:r>
            <w:r>
              <w:rPr>
                <w:noProof/>
                <w:webHidden/>
              </w:rPr>
              <w:t>2</w:t>
            </w:r>
            <w:r>
              <w:rPr>
                <w:noProof/>
                <w:webHidden/>
              </w:rPr>
              <w:fldChar w:fldCharType="end"/>
            </w:r>
          </w:hyperlink>
        </w:p>
        <w:p w14:paraId="3B92E48D" w14:textId="4196B1B3" w:rsidR="002065AB" w:rsidRDefault="002065AB">
          <w:pPr>
            <w:pStyle w:val="TDC2"/>
            <w:tabs>
              <w:tab w:val="left" w:pos="720"/>
              <w:tab w:val="right" w:leader="dot" w:pos="8828"/>
            </w:tabs>
            <w:rPr>
              <w:rFonts w:asciiTheme="minorHAnsi" w:eastAsiaTheme="minorEastAsia" w:hAnsiTheme="minorHAnsi" w:cstheme="minorBidi"/>
              <w:noProof/>
              <w:color w:val="auto"/>
              <w:sz w:val="24"/>
            </w:rPr>
          </w:pPr>
          <w:hyperlink w:anchor="_Toc233549196" w:history="1">
            <w:r w:rsidRPr="00E94B52">
              <w:rPr>
                <w:rStyle w:val="Hipervnculo"/>
                <w:noProof/>
              </w:rPr>
              <w:t>3.</w:t>
            </w:r>
            <w:r>
              <w:rPr>
                <w:rFonts w:asciiTheme="minorHAnsi" w:eastAsiaTheme="minorEastAsia" w:hAnsiTheme="minorHAnsi" w:cstheme="minorBidi"/>
                <w:noProof/>
                <w:color w:val="auto"/>
                <w:sz w:val="24"/>
              </w:rPr>
              <w:tab/>
            </w:r>
            <w:r w:rsidRPr="00E94B52">
              <w:rPr>
                <w:rStyle w:val="Hipervnculo"/>
                <w:noProof/>
              </w:rPr>
              <w:t>Estimación Puntual e Intervalos de Confianza</w:t>
            </w:r>
            <w:r>
              <w:rPr>
                <w:noProof/>
                <w:webHidden/>
              </w:rPr>
              <w:tab/>
            </w:r>
            <w:r>
              <w:rPr>
                <w:noProof/>
                <w:webHidden/>
              </w:rPr>
              <w:fldChar w:fldCharType="begin"/>
            </w:r>
            <w:r>
              <w:rPr>
                <w:noProof/>
                <w:webHidden/>
              </w:rPr>
              <w:instrText xml:space="preserve"> PAGEREF _Toc233549196 \h </w:instrText>
            </w:r>
            <w:r>
              <w:rPr>
                <w:noProof/>
                <w:webHidden/>
              </w:rPr>
            </w:r>
            <w:r>
              <w:rPr>
                <w:noProof/>
                <w:webHidden/>
              </w:rPr>
              <w:fldChar w:fldCharType="separate"/>
            </w:r>
            <w:r>
              <w:rPr>
                <w:noProof/>
                <w:webHidden/>
              </w:rPr>
              <w:t>5</w:t>
            </w:r>
            <w:r>
              <w:rPr>
                <w:noProof/>
                <w:webHidden/>
              </w:rPr>
              <w:fldChar w:fldCharType="end"/>
            </w:r>
          </w:hyperlink>
        </w:p>
        <w:p w14:paraId="0D56BE48" w14:textId="29040382" w:rsidR="002065AB" w:rsidRDefault="002065AB">
          <w:pPr>
            <w:pStyle w:val="TDC2"/>
            <w:tabs>
              <w:tab w:val="right" w:leader="dot" w:pos="8828"/>
            </w:tabs>
            <w:rPr>
              <w:rFonts w:asciiTheme="minorHAnsi" w:eastAsiaTheme="minorEastAsia" w:hAnsiTheme="minorHAnsi" w:cstheme="minorBidi"/>
              <w:noProof/>
              <w:color w:val="auto"/>
              <w:sz w:val="24"/>
            </w:rPr>
          </w:pPr>
          <w:hyperlink w:anchor="_Toc233549197" w:history="1">
            <w:r w:rsidRPr="00E94B52">
              <w:rPr>
                <w:rStyle w:val="Hipervnculo"/>
                <w:noProof/>
              </w:rPr>
              <w:t>4. Aplicación de Pruebas de Hipótesis.</w:t>
            </w:r>
            <w:r>
              <w:rPr>
                <w:noProof/>
                <w:webHidden/>
              </w:rPr>
              <w:tab/>
            </w:r>
            <w:r>
              <w:rPr>
                <w:noProof/>
                <w:webHidden/>
              </w:rPr>
              <w:fldChar w:fldCharType="begin"/>
            </w:r>
            <w:r>
              <w:rPr>
                <w:noProof/>
                <w:webHidden/>
              </w:rPr>
              <w:instrText xml:space="preserve"> PAGEREF _Toc233549197 \h </w:instrText>
            </w:r>
            <w:r>
              <w:rPr>
                <w:noProof/>
                <w:webHidden/>
              </w:rPr>
            </w:r>
            <w:r>
              <w:rPr>
                <w:noProof/>
                <w:webHidden/>
              </w:rPr>
              <w:fldChar w:fldCharType="separate"/>
            </w:r>
            <w:r>
              <w:rPr>
                <w:noProof/>
                <w:webHidden/>
              </w:rPr>
              <w:t>6</w:t>
            </w:r>
            <w:r>
              <w:rPr>
                <w:noProof/>
                <w:webHidden/>
              </w:rPr>
              <w:fldChar w:fldCharType="end"/>
            </w:r>
          </w:hyperlink>
        </w:p>
        <w:p w14:paraId="53CE8774" w14:textId="2479F705" w:rsidR="002065AB" w:rsidRDefault="002065AB">
          <w:pPr>
            <w:pStyle w:val="TDC3"/>
            <w:tabs>
              <w:tab w:val="right" w:leader="dot" w:pos="8828"/>
            </w:tabs>
            <w:rPr>
              <w:noProof/>
            </w:rPr>
          </w:pPr>
          <w:hyperlink w:anchor="_Toc233549198" w:history="1">
            <w:r w:rsidRPr="00E94B52">
              <w:rPr>
                <w:rStyle w:val="Hipervnculo"/>
                <w:noProof/>
              </w:rPr>
              <w:t>4.1. Contraste de Medias Paramétrico: Humedad vs. Inestabilidad Pluvial</w:t>
            </w:r>
            <w:r>
              <w:rPr>
                <w:noProof/>
                <w:webHidden/>
              </w:rPr>
              <w:tab/>
            </w:r>
            <w:r>
              <w:rPr>
                <w:noProof/>
                <w:webHidden/>
              </w:rPr>
              <w:fldChar w:fldCharType="begin"/>
            </w:r>
            <w:r>
              <w:rPr>
                <w:noProof/>
                <w:webHidden/>
              </w:rPr>
              <w:instrText xml:space="preserve"> PAGEREF _Toc233549198 \h </w:instrText>
            </w:r>
            <w:r>
              <w:rPr>
                <w:noProof/>
                <w:webHidden/>
              </w:rPr>
            </w:r>
            <w:r>
              <w:rPr>
                <w:noProof/>
                <w:webHidden/>
              </w:rPr>
              <w:fldChar w:fldCharType="separate"/>
            </w:r>
            <w:r>
              <w:rPr>
                <w:noProof/>
                <w:webHidden/>
              </w:rPr>
              <w:t>6</w:t>
            </w:r>
            <w:r>
              <w:rPr>
                <w:noProof/>
                <w:webHidden/>
              </w:rPr>
              <w:fldChar w:fldCharType="end"/>
            </w:r>
          </w:hyperlink>
        </w:p>
        <w:p w14:paraId="352F48EE" w14:textId="6AC27005" w:rsidR="002065AB" w:rsidRDefault="002065AB">
          <w:pPr>
            <w:pStyle w:val="TDC3"/>
            <w:tabs>
              <w:tab w:val="left" w:pos="960"/>
              <w:tab w:val="right" w:leader="dot" w:pos="8828"/>
            </w:tabs>
            <w:rPr>
              <w:noProof/>
            </w:rPr>
          </w:pPr>
          <w:hyperlink w:anchor="_Toc233549199" w:history="1">
            <w:r w:rsidRPr="00E94B52">
              <w:rPr>
                <w:rStyle w:val="Hipervnculo"/>
                <w:noProof/>
              </w:rPr>
              <w:t>4.</w:t>
            </w:r>
            <w:r>
              <w:rPr>
                <w:noProof/>
              </w:rPr>
              <w:tab/>
            </w:r>
            <w:r w:rsidRPr="00E94B52">
              <w:rPr>
                <w:rStyle w:val="Hipervnculo"/>
                <w:noProof/>
              </w:rPr>
              <w:t>Documentación de Procedimientos y Trazabilidad</w:t>
            </w:r>
            <w:r>
              <w:rPr>
                <w:noProof/>
                <w:webHidden/>
              </w:rPr>
              <w:tab/>
            </w:r>
            <w:r>
              <w:rPr>
                <w:noProof/>
                <w:webHidden/>
              </w:rPr>
              <w:fldChar w:fldCharType="begin"/>
            </w:r>
            <w:r>
              <w:rPr>
                <w:noProof/>
                <w:webHidden/>
              </w:rPr>
              <w:instrText xml:space="preserve"> PAGEREF _Toc233549199 \h </w:instrText>
            </w:r>
            <w:r>
              <w:rPr>
                <w:noProof/>
                <w:webHidden/>
              </w:rPr>
            </w:r>
            <w:r>
              <w:rPr>
                <w:noProof/>
                <w:webHidden/>
              </w:rPr>
              <w:fldChar w:fldCharType="separate"/>
            </w:r>
            <w:r>
              <w:rPr>
                <w:noProof/>
                <w:webHidden/>
              </w:rPr>
              <w:t>7</w:t>
            </w:r>
            <w:r>
              <w:rPr>
                <w:noProof/>
                <w:webHidden/>
              </w:rPr>
              <w:fldChar w:fldCharType="end"/>
            </w:r>
          </w:hyperlink>
        </w:p>
        <w:p w14:paraId="720D997D" w14:textId="6936BDDD" w:rsidR="002065AB" w:rsidRDefault="002065AB">
          <w:pPr>
            <w:pStyle w:val="TDC3"/>
            <w:tabs>
              <w:tab w:val="right" w:leader="dot" w:pos="8828"/>
            </w:tabs>
            <w:rPr>
              <w:noProof/>
            </w:rPr>
          </w:pPr>
          <w:hyperlink w:anchor="_Toc233549200" w:history="1">
            <w:r w:rsidRPr="00E94B52">
              <w:rPr>
                <w:rStyle w:val="Hipervnculo"/>
                <w:noProof/>
              </w:rPr>
              <w:t>6. Interpretación Preliminar y Conclusiones para la Toma de Decisiones</w:t>
            </w:r>
            <w:r>
              <w:rPr>
                <w:noProof/>
                <w:webHidden/>
              </w:rPr>
              <w:tab/>
            </w:r>
            <w:r>
              <w:rPr>
                <w:noProof/>
                <w:webHidden/>
              </w:rPr>
              <w:fldChar w:fldCharType="begin"/>
            </w:r>
            <w:r>
              <w:rPr>
                <w:noProof/>
                <w:webHidden/>
              </w:rPr>
              <w:instrText xml:space="preserve"> PAGEREF _Toc233549200 \h </w:instrText>
            </w:r>
            <w:r>
              <w:rPr>
                <w:noProof/>
                <w:webHidden/>
              </w:rPr>
            </w:r>
            <w:r>
              <w:rPr>
                <w:noProof/>
                <w:webHidden/>
              </w:rPr>
              <w:fldChar w:fldCharType="separate"/>
            </w:r>
            <w:r>
              <w:rPr>
                <w:noProof/>
                <w:webHidden/>
              </w:rPr>
              <w:t>8</w:t>
            </w:r>
            <w:r>
              <w:rPr>
                <w:noProof/>
                <w:webHidden/>
              </w:rPr>
              <w:fldChar w:fldCharType="end"/>
            </w:r>
          </w:hyperlink>
        </w:p>
        <w:p w14:paraId="0EC6581C" w14:textId="5BBB1960" w:rsidR="002065AB" w:rsidRDefault="002065AB">
          <w:pPr>
            <w:pStyle w:val="TDC3"/>
            <w:tabs>
              <w:tab w:val="right" w:leader="dot" w:pos="8828"/>
            </w:tabs>
            <w:rPr>
              <w:noProof/>
            </w:rPr>
          </w:pPr>
          <w:hyperlink w:anchor="_Toc233549201" w:history="1">
            <w:r w:rsidRPr="00E94B52">
              <w:rPr>
                <w:rStyle w:val="Hipervnculo"/>
                <w:noProof/>
              </w:rPr>
              <w:t>7. Presentación Formal del Informe</w:t>
            </w:r>
            <w:r>
              <w:rPr>
                <w:noProof/>
                <w:webHidden/>
              </w:rPr>
              <w:tab/>
            </w:r>
            <w:r>
              <w:rPr>
                <w:noProof/>
                <w:webHidden/>
              </w:rPr>
              <w:fldChar w:fldCharType="begin"/>
            </w:r>
            <w:r>
              <w:rPr>
                <w:noProof/>
                <w:webHidden/>
              </w:rPr>
              <w:instrText xml:space="preserve"> PAGEREF _Toc233549201 \h </w:instrText>
            </w:r>
            <w:r>
              <w:rPr>
                <w:noProof/>
                <w:webHidden/>
              </w:rPr>
            </w:r>
            <w:r>
              <w:rPr>
                <w:noProof/>
                <w:webHidden/>
              </w:rPr>
              <w:fldChar w:fldCharType="separate"/>
            </w:r>
            <w:r>
              <w:rPr>
                <w:noProof/>
                <w:webHidden/>
              </w:rPr>
              <w:t>8</w:t>
            </w:r>
            <w:r>
              <w:rPr>
                <w:noProof/>
                <w:webHidden/>
              </w:rPr>
              <w:fldChar w:fldCharType="end"/>
            </w:r>
          </w:hyperlink>
        </w:p>
        <w:p w14:paraId="6A2EDBD9" w14:textId="4DACA703" w:rsidR="002065AB" w:rsidRDefault="002065AB">
          <w:pPr>
            <w:pStyle w:val="TDC3"/>
            <w:tabs>
              <w:tab w:val="right" w:leader="dot" w:pos="8828"/>
            </w:tabs>
            <w:rPr>
              <w:noProof/>
            </w:rPr>
          </w:pPr>
          <w:hyperlink w:anchor="_Toc233549202" w:history="1">
            <w:r w:rsidRPr="00E94B52">
              <w:rPr>
                <w:rStyle w:val="Hipervnculo"/>
                <w:noProof/>
                <w:lang w:val="en-US"/>
              </w:rPr>
              <w:t>8. Bibliografía</w:t>
            </w:r>
            <w:r>
              <w:rPr>
                <w:noProof/>
                <w:webHidden/>
              </w:rPr>
              <w:tab/>
            </w:r>
            <w:r>
              <w:rPr>
                <w:noProof/>
                <w:webHidden/>
              </w:rPr>
              <w:fldChar w:fldCharType="begin"/>
            </w:r>
            <w:r>
              <w:rPr>
                <w:noProof/>
                <w:webHidden/>
              </w:rPr>
              <w:instrText xml:space="preserve"> PAGEREF _Toc233549202 \h </w:instrText>
            </w:r>
            <w:r>
              <w:rPr>
                <w:noProof/>
                <w:webHidden/>
              </w:rPr>
            </w:r>
            <w:r>
              <w:rPr>
                <w:noProof/>
                <w:webHidden/>
              </w:rPr>
              <w:fldChar w:fldCharType="separate"/>
            </w:r>
            <w:r>
              <w:rPr>
                <w:noProof/>
                <w:webHidden/>
              </w:rPr>
              <w:t>9</w:t>
            </w:r>
            <w:r>
              <w:rPr>
                <w:noProof/>
                <w:webHidden/>
              </w:rPr>
              <w:fldChar w:fldCharType="end"/>
            </w:r>
          </w:hyperlink>
        </w:p>
        <w:p w14:paraId="261305F4" w14:textId="22B4FE15" w:rsidR="003B0DF5" w:rsidRDefault="003B0DF5">
          <w:r>
            <w:rPr>
              <w:b/>
              <w:bCs/>
              <w:lang w:val="es-ES"/>
            </w:rPr>
            <w:fldChar w:fldCharType="end"/>
          </w:r>
        </w:p>
      </w:sdtContent>
    </w:sdt>
    <w:p w14:paraId="2681F8C7" w14:textId="77777777" w:rsidR="003B0DF5" w:rsidRDefault="003B0DF5" w:rsidP="003B0DF5">
      <w:pPr>
        <w:jc w:val="left"/>
        <w:rPr>
          <w:lang w:eastAsia="en-US"/>
        </w:rPr>
      </w:pPr>
    </w:p>
    <w:p w14:paraId="0896353A" w14:textId="77777777" w:rsidR="003B0DF5" w:rsidRDefault="003B0DF5" w:rsidP="003B0DF5">
      <w:pPr>
        <w:jc w:val="left"/>
        <w:rPr>
          <w:lang w:eastAsia="en-US"/>
        </w:rPr>
      </w:pPr>
    </w:p>
    <w:p w14:paraId="4F6A9F87" w14:textId="77777777" w:rsidR="003B0DF5" w:rsidRDefault="003B0DF5" w:rsidP="003B0DF5">
      <w:pPr>
        <w:jc w:val="left"/>
        <w:rPr>
          <w:lang w:eastAsia="en-US"/>
        </w:rPr>
      </w:pPr>
    </w:p>
    <w:p w14:paraId="12A68661" w14:textId="77777777" w:rsidR="003B0DF5" w:rsidRDefault="003B0DF5" w:rsidP="003B0DF5">
      <w:pPr>
        <w:jc w:val="left"/>
        <w:rPr>
          <w:lang w:eastAsia="en-US"/>
        </w:rPr>
      </w:pPr>
    </w:p>
    <w:p w14:paraId="1090A9E9" w14:textId="589B7F04" w:rsidR="003B0DF5" w:rsidRDefault="003B0DF5">
      <w:pPr>
        <w:spacing w:after="160" w:line="278" w:lineRule="auto"/>
        <w:ind w:left="0" w:firstLine="0"/>
        <w:jc w:val="left"/>
        <w:rPr>
          <w:lang w:eastAsia="en-US"/>
        </w:rPr>
      </w:pPr>
      <w:r>
        <w:rPr>
          <w:lang w:eastAsia="en-US"/>
        </w:rPr>
        <w:br w:type="page"/>
      </w:r>
    </w:p>
    <w:p w14:paraId="6064B10A" w14:textId="77777777" w:rsidR="003B0DF5" w:rsidRPr="003B0DF5" w:rsidRDefault="003B0DF5" w:rsidP="003B0DF5">
      <w:pPr>
        <w:jc w:val="left"/>
        <w:rPr>
          <w:lang w:eastAsia="en-US"/>
        </w:rPr>
      </w:pPr>
    </w:p>
    <w:p w14:paraId="49DB7C35" w14:textId="50C03A38" w:rsidR="003B0DF5" w:rsidRPr="003B0DF5" w:rsidRDefault="003B0DF5" w:rsidP="00240D6F">
      <w:pPr>
        <w:pStyle w:val="Ttulo2"/>
        <w:numPr>
          <w:ilvl w:val="0"/>
          <w:numId w:val="2"/>
        </w:numPr>
      </w:pPr>
      <w:bookmarkStart w:id="1" w:name="_Toc233549194"/>
      <w:r w:rsidRPr="003B0DF5">
        <w:t>Introducción y Contexto del Problema</w:t>
      </w:r>
      <w:bookmarkEnd w:id="1"/>
    </w:p>
    <w:p w14:paraId="1C8B602F" w14:textId="77777777" w:rsidR="003B0DF5" w:rsidRPr="003B0DF5" w:rsidRDefault="003B0DF5" w:rsidP="003B0DF5">
      <w:pPr>
        <w:pStyle w:val="Prrafodelista"/>
        <w:ind w:firstLine="0"/>
        <w:rPr>
          <w:b/>
          <w:bCs/>
          <w:color w:val="auto"/>
        </w:rPr>
      </w:pPr>
    </w:p>
    <w:p w14:paraId="0438E569" w14:textId="77777777" w:rsidR="003B0DF5" w:rsidRDefault="003B0DF5" w:rsidP="003B0DF5">
      <w:pPr>
        <w:ind w:firstLine="698"/>
        <w:rPr>
          <w:color w:val="auto"/>
        </w:rPr>
      </w:pPr>
      <w:r w:rsidRPr="003B0DF5">
        <w:rPr>
          <w:color w:val="auto"/>
        </w:rPr>
        <w:t>El estudio y la modelación de los fenómenos climáticos representan uno de los desafíos más complejos dentro de la estadística computacional aplicada. La atmósfera terrestre opera como un sistema dinámico e interdependiente, donde la ocurrencia de precipitaciones está gobernada por variables termodinámicas y barométricas que interactúan bajo condiciones de alta variabilidad.</w:t>
      </w:r>
    </w:p>
    <w:p w14:paraId="04152362" w14:textId="77777777" w:rsidR="003B0DF5" w:rsidRPr="003B0DF5" w:rsidRDefault="003B0DF5" w:rsidP="003B0DF5">
      <w:pPr>
        <w:ind w:firstLine="698"/>
        <w:rPr>
          <w:color w:val="auto"/>
        </w:rPr>
      </w:pPr>
    </w:p>
    <w:p w14:paraId="15C58CB1" w14:textId="77777777" w:rsidR="003B0DF5" w:rsidRPr="003B0DF5" w:rsidRDefault="003B0DF5" w:rsidP="003B0DF5">
      <w:pPr>
        <w:ind w:firstLine="698"/>
        <w:rPr>
          <w:color w:val="auto"/>
        </w:rPr>
      </w:pPr>
      <w:r w:rsidRPr="003B0DF5">
        <w:rPr>
          <w:color w:val="auto"/>
        </w:rPr>
        <w:t xml:space="preserve">Para el desarrollo de este informe técnico, se utiliza el conjunto de datos histórico </w:t>
      </w:r>
      <w:r w:rsidRPr="003B0DF5">
        <w:rPr>
          <w:b/>
          <w:bCs/>
          <w:color w:val="auto"/>
        </w:rPr>
        <w:t>"Rain in Australia"</w:t>
      </w:r>
      <w:r w:rsidRPr="003B0DF5">
        <w:rPr>
          <w:color w:val="auto"/>
        </w:rPr>
        <w:t xml:space="preserve">, el cual consolida aproximadamente 10 años de observaciones meteorológicas diarias provenientes de múltiples estaciones oficiales de la Commonwealth de Australia. El núcleo de la investigación consiste en caracterizar esta dinámica atmosférica para abordar un problema de clasificación binaria: determinar la ocurrencia o ausencia del evento de precipitación al día siguiente, representado por la variable objetivo </w:t>
      </w:r>
      <w:proofErr w:type="spellStart"/>
      <w:r w:rsidRPr="003B0DF5">
        <w:rPr>
          <w:color w:val="auto"/>
        </w:rPr>
        <w:t>RainTomorrow</w:t>
      </w:r>
      <w:proofErr w:type="spellEnd"/>
      <w:r w:rsidRPr="003B0DF5">
        <w:rPr>
          <w:color w:val="auto"/>
        </w:rPr>
        <w:t xml:space="preserve"> (</w:t>
      </w:r>
      <w:r w:rsidRPr="003B0DF5">
        <w:rPr>
          <w:i/>
          <w:iCs/>
          <w:color w:val="auto"/>
        </w:rPr>
        <w:t>Yes / No</w:t>
      </w:r>
      <w:r w:rsidRPr="003B0DF5">
        <w:rPr>
          <w:color w:val="auto"/>
        </w:rPr>
        <w:t>).</w:t>
      </w:r>
    </w:p>
    <w:p w14:paraId="50AC1A2B" w14:textId="77777777" w:rsidR="002545F6" w:rsidRDefault="002545F6">
      <w:pPr>
        <w:rPr>
          <w:color w:val="auto"/>
        </w:rPr>
      </w:pPr>
    </w:p>
    <w:p w14:paraId="6ED6FD72" w14:textId="77777777" w:rsidR="003B0DF5" w:rsidRDefault="003B0DF5">
      <w:pPr>
        <w:rPr>
          <w:color w:val="auto"/>
        </w:rPr>
      </w:pPr>
    </w:p>
    <w:p w14:paraId="45AE35DA" w14:textId="4B7D482B" w:rsidR="003B0DF5" w:rsidRDefault="003B0DF5" w:rsidP="00240D6F">
      <w:pPr>
        <w:pStyle w:val="Ttulo2"/>
        <w:numPr>
          <w:ilvl w:val="0"/>
          <w:numId w:val="2"/>
        </w:numPr>
      </w:pPr>
      <w:bookmarkStart w:id="2" w:name="_Toc233549195"/>
      <w:r w:rsidRPr="003B0DF5">
        <w:t>Aplicación de Estadística Descriptiva</w:t>
      </w:r>
      <w:bookmarkEnd w:id="2"/>
    </w:p>
    <w:p w14:paraId="2940770D" w14:textId="385D2396" w:rsidR="003B0DF5" w:rsidRDefault="003B0DF5" w:rsidP="003B0DF5"/>
    <w:p w14:paraId="616928DA" w14:textId="3ACA5093" w:rsidR="003B0DF5" w:rsidRDefault="003B0DF5" w:rsidP="003B0DF5">
      <w:pPr>
        <w:ind w:firstLine="698"/>
      </w:pPr>
      <w:r w:rsidRPr="003B0DF5">
        <w:t xml:space="preserve">El conjunto de datos bajo estudio reúne una variable </w:t>
      </w:r>
      <w:proofErr w:type="gramStart"/>
      <w:r w:rsidRPr="003B0DF5">
        <w:t>objetivo binaria</w:t>
      </w:r>
      <w:proofErr w:type="gramEnd"/>
      <w:r w:rsidRPr="003B0DF5">
        <w:t xml:space="preserve"> (</w:t>
      </w:r>
      <w:proofErr w:type="spellStart"/>
      <w:r w:rsidRPr="003B0DF5">
        <w:t>RainTomorrow</w:t>
      </w:r>
      <w:proofErr w:type="spellEnd"/>
      <w:r w:rsidRPr="003B0DF5">
        <w:t>) y 22 predictores que combinan variables categóricas (dirección del viento, presencia de lluvia actual) y numéricas de naturaleza continua (temperaturas, humedad, presión, velocidad del viento). La Tabla 1 resume las medidas de tendencia central y dispersión para las variables meteorológicas continuas más críticas en el análisis termodinámico del set de datos.</w:t>
      </w:r>
    </w:p>
    <w:p w14:paraId="3AB078E0" w14:textId="6F511780" w:rsidR="007E4FAC" w:rsidRDefault="007E4FAC" w:rsidP="003B0DF5">
      <w:pPr>
        <w:ind w:firstLine="698"/>
      </w:pPr>
    </w:p>
    <w:p w14:paraId="15532501" w14:textId="77777777" w:rsidR="007E4FAC" w:rsidRDefault="007E4FAC" w:rsidP="003B0DF5">
      <w:pPr>
        <w:ind w:firstLine="698"/>
        <w:rPr>
          <w:b/>
          <w:bCs/>
        </w:rPr>
      </w:pPr>
      <w:r w:rsidRPr="007E4FAC">
        <w:drawing>
          <wp:anchor distT="0" distB="0" distL="114300" distR="114300" simplePos="0" relativeHeight="251659264" behindDoc="0" locked="0" layoutInCell="1" allowOverlap="1" wp14:anchorId="537D05E3" wp14:editId="7E57B48C">
            <wp:simplePos x="0" y="0"/>
            <wp:positionH relativeFrom="margin">
              <wp:posOffset>0</wp:posOffset>
            </wp:positionH>
            <wp:positionV relativeFrom="margin">
              <wp:posOffset>5215255</wp:posOffset>
            </wp:positionV>
            <wp:extent cx="5612130" cy="1035685"/>
            <wp:effectExtent l="0" t="0" r="7620" b="0"/>
            <wp:wrapSquare wrapText="bothSides"/>
            <wp:docPr id="1762191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91864" name=""/>
                    <pic:cNvPicPr/>
                  </pic:nvPicPr>
                  <pic:blipFill>
                    <a:blip r:embed="rId9">
                      <a:extLst>
                        <a:ext uri="{28A0092B-C50C-407E-A947-70E740481C1C}">
                          <a14:useLocalDpi xmlns:a14="http://schemas.microsoft.com/office/drawing/2010/main" val="0"/>
                        </a:ext>
                      </a:extLst>
                    </a:blip>
                    <a:stretch>
                      <a:fillRect/>
                    </a:stretch>
                  </pic:blipFill>
                  <pic:spPr>
                    <a:xfrm>
                      <a:off x="0" y="0"/>
                      <a:ext cx="5612130" cy="1035685"/>
                    </a:xfrm>
                    <a:prstGeom prst="rect">
                      <a:avLst/>
                    </a:prstGeom>
                  </pic:spPr>
                </pic:pic>
              </a:graphicData>
            </a:graphic>
          </wp:anchor>
        </w:drawing>
      </w:r>
    </w:p>
    <w:p w14:paraId="4662860F" w14:textId="4AAACBA4" w:rsidR="007E4FAC" w:rsidRDefault="007E4FAC" w:rsidP="003B0DF5">
      <w:pPr>
        <w:ind w:firstLine="698"/>
      </w:pPr>
      <w:r w:rsidRPr="007E4FAC">
        <w:rPr>
          <w:b/>
          <w:bCs/>
        </w:rPr>
        <w:t>Tabla 1:</w:t>
      </w:r>
      <w:r w:rsidRPr="007E4FAC">
        <w:t xml:space="preserve"> Medidas descriptivas de las variables cuantitativas críticas.</w:t>
      </w:r>
      <w:r w:rsidRPr="007E4FAC">
        <w:t xml:space="preserve"> </w:t>
      </w:r>
    </w:p>
    <w:p w14:paraId="56EE4334" w14:textId="58CAB896" w:rsidR="007E4FAC" w:rsidRDefault="007E4FAC" w:rsidP="007E4FAC">
      <w:pPr>
        <w:ind w:firstLine="698"/>
      </w:pPr>
      <w:r>
        <w:rPr>
          <w:b/>
          <w:bCs/>
        </w:rPr>
        <w:t xml:space="preserve">Nota: </w:t>
      </w:r>
      <w:r w:rsidRPr="007E4FAC">
        <w:t>Como se observa en las métricas resumidas en la Tabla 1, la inspección inicial revela que las variables barométricas, tales como la presión atmosférica a las 3:00 p.m. (</w:t>
      </w:r>
      <w:r w:rsidRPr="007E4FAC">
        <w:rPr>
          <w:i/>
          <w:iCs/>
        </w:rPr>
        <w:t>Pressure3pm</w:t>
      </w:r>
      <w:r w:rsidRPr="007E4FAC">
        <w:t>), presentan un comportamiento altamente simétrico. Esta morfología se refleja matemáticamente en la proximidad entre su media (</w:t>
      </w:r>
      <w:r w:rsidRPr="007E4FAC">
        <w:rPr>
          <w:i/>
          <w:iCs/>
        </w:rPr>
        <w:t>M</w:t>
      </w:r>
      <w:r w:rsidRPr="007E4FAC">
        <w:t xml:space="preserve"> </w:t>
      </w:r>
      <w:r w:rsidRPr="007E4FAC">
        <w:rPr>
          <w:i/>
          <w:iCs/>
        </w:rPr>
        <w:t>= 1015.25</w:t>
      </w:r>
      <w:r w:rsidRPr="007E4FAC">
        <w:t>) y su mediana (</w:t>
      </w:r>
      <w:proofErr w:type="spellStart"/>
      <w:r w:rsidRPr="007E4FAC">
        <w:rPr>
          <w:i/>
          <w:iCs/>
        </w:rPr>
        <w:t>Mdn</w:t>
      </w:r>
      <w:proofErr w:type="spellEnd"/>
      <w:r w:rsidRPr="007E4FAC">
        <w:t xml:space="preserve"> </w:t>
      </w:r>
      <w:r w:rsidRPr="007E4FAC">
        <w:rPr>
          <w:i/>
          <w:iCs/>
        </w:rPr>
        <w:t>= 1015.20</w:t>
      </w:r>
      <w:r w:rsidRPr="007E4FAC">
        <w:t>). En contraste, las variables de flujo, como la velocidad del viento a la misma hora (</w:t>
      </w:r>
      <w:r w:rsidRPr="007E4FAC">
        <w:rPr>
          <w:i/>
          <w:iCs/>
        </w:rPr>
        <w:t>WindSpeed3pm</w:t>
      </w:r>
      <w:r w:rsidRPr="007E4FAC">
        <w:t>), exhiben una marcada asimetría positiva (</w:t>
      </w:r>
      <w:r w:rsidRPr="007E4FAC">
        <w:rPr>
          <w:i/>
          <w:iCs/>
        </w:rPr>
        <w:t>M = 18.65</w:t>
      </w:r>
      <w:r w:rsidRPr="007E4FAC">
        <w:t xml:space="preserve">; </w:t>
      </w:r>
      <w:proofErr w:type="spellStart"/>
      <w:r w:rsidRPr="007E4FAC">
        <w:rPr>
          <w:i/>
          <w:iCs/>
        </w:rPr>
        <w:t>Mdn</w:t>
      </w:r>
      <w:proofErr w:type="spellEnd"/>
      <w:r w:rsidRPr="007E4FAC">
        <w:rPr>
          <w:i/>
          <w:iCs/>
        </w:rPr>
        <w:t xml:space="preserve"> = 19.00</w:t>
      </w:r>
      <w:r w:rsidRPr="007E4FAC">
        <w:t>). Este fenómeno metodológico es atribuible a la presencia de ráfagas puntuales extremas que extienden la cola de la distribución hacia el extremo derecho del espectro.</w:t>
      </w:r>
    </w:p>
    <w:p w14:paraId="46B89E70" w14:textId="08008263" w:rsidR="007E4FAC" w:rsidRDefault="007E4FAC" w:rsidP="007E4FAC">
      <w:pPr>
        <w:ind w:firstLine="698"/>
        <w:jc w:val="left"/>
      </w:pPr>
      <w:r>
        <w:rPr>
          <w:b/>
          <w:bCs/>
        </w:rPr>
        <w:t xml:space="preserve">Fuente: </w:t>
      </w:r>
      <w:r w:rsidRPr="007E4FAC">
        <w:t xml:space="preserve">Adaptado de </w:t>
      </w:r>
      <w:r w:rsidRPr="007E4FAC">
        <w:rPr>
          <w:i/>
          <w:iCs/>
        </w:rPr>
        <w:t>Rain in Australia</w:t>
      </w:r>
      <w:r w:rsidRPr="007E4FAC">
        <w:t>, por J. Young, 2018 (</w:t>
      </w:r>
      <w:hyperlink r:id="rId10" w:tgtFrame="_blank" w:history="1">
        <w:r w:rsidRPr="007E4FAC">
          <w:rPr>
            <w:rStyle w:val="Hipervnculo"/>
          </w:rPr>
          <w:t>https://www.kaggle.com/datasets/jsphgfr/rain-in-australia</w:t>
        </w:r>
      </w:hyperlink>
      <w:r w:rsidRPr="007E4FAC">
        <w:t>). Diseñado computacionalmente por el Grupo 6.</w:t>
      </w:r>
    </w:p>
    <w:p w14:paraId="4632DEC8" w14:textId="0F6BCD48" w:rsidR="007E4FAC" w:rsidRDefault="007E4FAC" w:rsidP="007E4FAC">
      <w:pPr>
        <w:ind w:firstLine="698"/>
      </w:pPr>
      <w:r w:rsidRPr="007E4FAC">
        <w:lastRenderedPageBreak/>
        <w:t>La inspección inicial revela que variables barométricas como Pressure3pm presentan un comportamiento altamente simétrico, reflejado en la proximidad matemática entre su media y su mediana. En contraste, variables de flujo como WindSpeed3pm exhiben asimetría positiva debido a ráfagas puntuales extremas que extienden la cola de la distribución hacia la derecha.</w:t>
      </w:r>
    </w:p>
    <w:p w14:paraId="36755C9D" w14:textId="77777777" w:rsidR="007E4FAC" w:rsidRDefault="007E4FAC" w:rsidP="007E4FAC">
      <w:pPr>
        <w:ind w:firstLine="698"/>
      </w:pPr>
    </w:p>
    <w:p w14:paraId="52CC2F45" w14:textId="77777777" w:rsidR="007E4FAC" w:rsidRDefault="007E4FAC" w:rsidP="007E4FAC">
      <w:pPr>
        <w:ind w:firstLine="698"/>
      </w:pPr>
    </w:p>
    <w:p w14:paraId="34FC75C0" w14:textId="6918CE86" w:rsidR="007E4FAC" w:rsidRDefault="007E4FAC" w:rsidP="007E4FAC">
      <w:pPr>
        <w:ind w:firstLine="698"/>
      </w:pPr>
      <w:r w:rsidRPr="007E4FAC">
        <w:rPr>
          <w:b/>
          <w:bCs/>
        </w:rPr>
        <w:t>Figura 1</w:t>
      </w:r>
      <w:r w:rsidR="002E2428">
        <w:rPr>
          <w:b/>
          <w:bCs/>
        </w:rPr>
        <w:t>(a)</w:t>
      </w:r>
      <w:r w:rsidRPr="007E4FAC">
        <w:t xml:space="preserve"> </w:t>
      </w:r>
      <w:r w:rsidRPr="007E4FAC">
        <w:rPr>
          <w:i/>
          <w:iCs/>
        </w:rPr>
        <w:t xml:space="preserve">Distribución de Frecuencias Absolutas para la Variable Objetivo </w:t>
      </w:r>
      <w:proofErr w:type="spellStart"/>
      <w:r w:rsidRPr="007E4FAC">
        <w:rPr>
          <w:i/>
          <w:iCs/>
        </w:rPr>
        <w:t>RainTomorrow</w:t>
      </w:r>
      <w:proofErr w:type="spellEnd"/>
      <w:r w:rsidRPr="007E4FAC">
        <w:rPr>
          <w:i/>
          <w:iCs/>
        </w:rPr>
        <w:t>.</w:t>
      </w:r>
    </w:p>
    <w:p w14:paraId="69A7F42E" w14:textId="65EAB440" w:rsidR="007E4FAC" w:rsidRDefault="007E4FAC" w:rsidP="007E4FAC">
      <w:pPr>
        <w:ind w:firstLine="698"/>
      </w:pPr>
    </w:p>
    <w:p w14:paraId="65108D01" w14:textId="4B04B654" w:rsidR="007E4FAC" w:rsidRPr="007E4FAC" w:rsidRDefault="007E4FAC" w:rsidP="002E2428">
      <w:pPr>
        <w:ind w:firstLine="698"/>
        <w:jc w:val="center"/>
      </w:pPr>
      <w:r w:rsidRPr="007E4FAC">
        <w:drawing>
          <wp:inline distT="0" distB="0" distL="0" distR="0" wp14:anchorId="50F04A77" wp14:editId="294AEA5A">
            <wp:extent cx="4229100" cy="2415535"/>
            <wp:effectExtent l="0" t="0" r="0" b="4445"/>
            <wp:docPr id="1588323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23948" name=""/>
                    <pic:cNvPicPr/>
                  </pic:nvPicPr>
                  <pic:blipFill>
                    <a:blip r:embed="rId11"/>
                    <a:stretch>
                      <a:fillRect/>
                    </a:stretch>
                  </pic:blipFill>
                  <pic:spPr>
                    <a:xfrm>
                      <a:off x="0" y="0"/>
                      <a:ext cx="4236114" cy="2419541"/>
                    </a:xfrm>
                    <a:prstGeom prst="rect">
                      <a:avLst/>
                    </a:prstGeom>
                  </pic:spPr>
                </pic:pic>
              </a:graphicData>
            </a:graphic>
          </wp:inline>
        </w:drawing>
      </w:r>
    </w:p>
    <w:p w14:paraId="4DA3CC47" w14:textId="3156C7FE" w:rsidR="007E4FAC" w:rsidRDefault="007E4FAC" w:rsidP="007E4FAC">
      <w:pPr>
        <w:ind w:firstLine="698"/>
      </w:pPr>
      <w:r w:rsidRPr="007E4FAC">
        <w:rPr>
          <w:b/>
          <w:bCs/>
        </w:rPr>
        <w:t>Nota:</w:t>
      </w:r>
      <w:r>
        <w:rPr>
          <w:b/>
          <w:bCs/>
        </w:rPr>
        <w:t xml:space="preserve">  </w:t>
      </w:r>
      <w:r w:rsidRPr="007E4FAC">
        <w:t>Como se ilustra en la Figura 1, la variable objetivo exhibe un desbalance de clases típico de la climatología continental, donde la ausencia de precipitaciones (</w:t>
      </w:r>
      <w:r w:rsidRPr="007E4FAC">
        <w:rPr>
          <w:i/>
          <w:iCs/>
        </w:rPr>
        <w:t>No</w:t>
      </w:r>
      <w:r w:rsidRPr="007E4FAC">
        <w:t>) acumula aproximadamente 110,316 observaciones frente a los 31,877 registros del evento pluvial (</w:t>
      </w:r>
      <w:r w:rsidRPr="007E4FAC">
        <w:rPr>
          <w:i/>
          <w:iCs/>
        </w:rPr>
        <w:t>Yes</w:t>
      </w:r>
      <w:r w:rsidRPr="007E4FAC">
        <w:t>). Esta asimetría estructural (</w:t>
      </w:r>
      <w:proofErr w:type="spellStart"/>
      <w:r w:rsidRPr="007E4FAC">
        <w:rPr>
          <w:i/>
          <w:iCs/>
        </w:rPr>
        <w:t>Mdn</w:t>
      </w:r>
      <w:proofErr w:type="spellEnd"/>
      <w:r w:rsidRPr="007E4FAC">
        <w:rPr>
          <w:i/>
          <w:iCs/>
        </w:rPr>
        <w:t xml:space="preserve"> = </w:t>
      </w:r>
      <w:r w:rsidRPr="007E4FAC">
        <w:rPr>
          <w:b/>
          <w:bCs/>
          <w:i/>
          <w:iCs/>
        </w:rPr>
        <w:t>"No"</w:t>
      </w:r>
      <w:r w:rsidRPr="007E4FAC">
        <w:t>) condicionará el posterior modelamiento predictivo, exigiendo métricas de evaluación que trasciendan la exactitud global (</w:t>
      </w:r>
      <w:proofErr w:type="spellStart"/>
      <w:r w:rsidRPr="007E4FAC">
        <w:rPr>
          <w:i/>
          <w:iCs/>
        </w:rPr>
        <w:t>accuracy</w:t>
      </w:r>
      <w:proofErr w:type="spellEnd"/>
      <w:r w:rsidRPr="007E4FAC">
        <w:t>) para mitigar el sesgo hacia la clase mayoritaria.</w:t>
      </w:r>
    </w:p>
    <w:p w14:paraId="51CC918B" w14:textId="1C973FF4" w:rsidR="007E4FAC" w:rsidRDefault="007E4FAC" w:rsidP="007E4FAC">
      <w:pPr>
        <w:ind w:firstLine="698"/>
        <w:jc w:val="left"/>
        <w:rPr>
          <w:b/>
          <w:bCs/>
        </w:rPr>
      </w:pPr>
      <w:r>
        <w:rPr>
          <w:b/>
          <w:bCs/>
        </w:rPr>
        <w:t>Fuente:</w:t>
      </w:r>
      <w:r w:rsidRPr="007E4FAC">
        <w:t xml:space="preserve"> </w:t>
      </w:r>
      <w:r w:rsidRPr="007E4FAC">
        <w:t xml:space="preserve">Adaptado de </w:t>
      </w:r>
      <w:r w:rsidRPr="007E4FAC">
        <w:rPr>
          <w:i/>
          <w:iCs/>
        </w:rPr>
        <w:t>Rain in Australia</w:t>
      </w:r>
      <w:r w:rsidRPr="007E4FAC">
        <w:t>, por J. Young, 2018 (</w:t>
      </w:r>
      <w:hyperlink r:id="rId12" w:tgtFrame="_blank" w:history="1">
        <w:r w:rsidRPr="007E4FAC">
          <w:rPr>
            <w:rStyle w:val="Hipervnculo"/>
          </w:rPr>
          <w:t>https://www.kaggle.com/datasets/jsphgfr/rain-in-australia</w:t>
        </w:r>
      </w:hyperlink>
      <w:r w:rsidRPr="007E4FAC">
        <w:t>). Diseñado computacionalmente por el Grupo 6.</w:t>
      </w:r>
    </w:p>
    <w:p w14:paraId="6747933B" w14:textId="77777777" w:rsidR="007E4FAC" w:rsidRDefault="007E4FAC" w:rsidP="007E4FAC">
      <w:pPr>
        <w:ind w:firstLine="698"/>
        <w:rPr>
          <w:b/>
          <w:bCs/>
        </w:rPr>
      </w:pPr>
    </w:p>
    <w:p w14:paraId="57B5AC74" w14:textId="6FA5CF5B" w:rsidR="002E2428" w:rsidRDefault="002E2428">
      <w:pPr>
        <w:spacing w:after="160" w:line="278" w:lineRule="auto"/>
        <w:ind w:left="0" w:firstLine="0"/>
        <w:jc w:val="left"/>
        <w:rPr>
          <w:b/>
          <w:bCs/>
        </w:rPr>
      </w:pPr>
      <w:r>
        <w:rPr>
          <w:b/>
          <w:bCs/>
        </w:rPr>
        <w:br w:type="page"/>
      </w:r>
    </w:p>
    <w:p w14:paraId="4710C181" w14:textId="502E93FC" w:rsidR="002E2428" w:rsidRDefault="002E2428" w:rsidP="007E4FAC">
      <w:pPr>
        <w:ind w:firstLine="698"/>
      </w:pPr>
      <w:r>
        <w:rPr>
          <w:b/>
          <w:bCs/>
        </w:rPr>
        <w:lastRenderedPageBreak/>
        <w:t xml:space="preserve">Figura 1(b) </w:t>
      </w:r>
      <w:r w:rsidRPr="002E2428">
        <w:t xml:space="preserve">gráfico de barras horizontales mostrando el porcentaje de datos faltantes por variable (donde se evidencie la alta nulidad de </w:t>
      </w:r>
      <w:proofErr w:type="spellStart"/>
      <w:r w:rsidRPr="002E2428">
        <w:t>Evaporation</w:t>
      </w:r>
      <w:proofErr w:type="spellEnd"/>
      <w:r w:rsidRPr="002E2428">
        <w:t xml:space="preserve"> y Sunshine).</w:t>
      </w:r>
    </w:p>
    <w:p w14:paraId="0760338D" w14:textId="77777777" w:rsidR="002E2428" w:rsidRPr="002E2428" w:rsidRDefault="002E2428" w:rsidP="007E4FAC">
      <w:pPr>
        <w:ind w:firstLine="698"/>
      </w:pPr>
    </w:p>
    <w:p w14:paraId="3209B618" w14:textId="3DAB2367" w:rsidR="007E4FAC" w:rsidRDefault="002E2428" w:rsidP="002E2428">
      <w:pPr>
        <w:ind w:firstLine="698"/>
        <w:jc w:val="center"/>
      </w:pPr>
      <w:r w:rsidRPr="002E2428">
        <w:drawing>
          <wp:inline distT="0" distB="0" distL="0" distR="0" wp14:anchorId="6979F9BC" wp14:editId="4DFA8EF1">
            <wp:extent cx="4657725" cy="2662988"/>
            <wp:effectExtent l="0" t="0" r="0" b="4445"/>
            <wp:docPr id="60895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5149" name=""/>
                    <pic:cNvPicPr/>
                  </pic:nvPicPr>
                  <pic:blipFill>
                    <a:blip r:embed="rId13"/>
                    <a:stretch>
                      <a:fillRect/>
                    </a:stretch>
                  </pic:blipFill>
                  <pic:spPr>
                    <a:xfrm>
                      <a:off x="0" y="0"/>
                      <a:ext cx="4666108" cy="2667781"/>
                    </a:xfrm>
                    <a:prstGeom prst="rect">
                      <a:avLst/>
                    </a:prstGeom>
                  </pic:spPr>
                </pic:pic>
              </a:graphicData>
            </a:graphic>
          </wp:inline>
        </w:drawing>
      </w:r>
    </w:p>
    <w:p w14:paraId="574CC864" w14:textId="3D2AF512" w:rsidR="002E2428" w:rsidRDefault="002E2428" w:rsidP="003B0DF5">
      <w:pPr>
        <w:ind w:firstLine="698"/>
      </w:pPr>
      <w:r>
        <w:rPr>
          <w:b/>
          <w:bCs/>
        </w:rPr>
        <w:t xml:space="preserve">Nota: </w:t>
      </w:r>
      <w:r>
        <w:t>L</w:t>
      </w:r>
      <w:r w:rsidRPr="002E2428">
        <w:t xml:space="preserve">a Figura 1(b) ratifica la presencia de datos faltantes de origen instrumental, concentrados de forma crítica en variables de radiación y evaporación como Sunshine (48.0%) y </w:t>
      </w:r>
      <w:proofErr w:type="spellStart"/>
      <w:r w:rsidRPr="002E2428">
        <w:t>Evaporation</w:t>
      </w:r>
      <w:proofErr w:type="spellEnd"/>
      <w:r w:rsidRPr="002E2428">
        <w:t xml:space="preserve"> (43.1%), lo que justifica metodológicamente el descarte de una simulación artificial MCAR.</w:t>
      </w:r>
    </w:p>
    <w:p w14:paraId="29B377AD" w14:textId="77777777" w:rsidR="002E2428" w:rsidRDefault="002E2428" w:rsidP="002E2428">
      <w:pPr>
        <w:ind w:firstLine="698"/>
        <w:jc w:val="left"/>
        <w:rPr>
          <w:b/>
          <w:bCs/>
        </w:rPr>
      </w:pPr>
      <w:r>
        <w:rPr>
          <w:b/>
          <w:bCs/>
        </w:rPr>
        <w:t>Fuente:</w:t>
      </w:r>
      <w:r w:rsidRPr="007E4FAC">
        <w:t xml:space="preserve"> Adaptado de </w:t>
      </w:r>
      <w:r w:rsidRPr="007E4FAC">
        <w:rPr>
          <w:i/>
          <w:iCs/>
        </w:rPr>
        <w:t>Rain in Australia</w:t>
      </w:r>
      <w:r w:rsidRPr="007E4FAC">
        <w:t>, por J. Young, 2018 (</w:t>
      </w:r>
      <w:hyperlink r:id="rId14" w:tgtFrame="_blank" w:history="1">
        <w:r w:rsidRPr="007E4FAC">
          <w:rPr>
            <w:rStyle w:val="Hipervnculo"/>
          </w:rPr>
          <w:t>https://www.kaggle.com/datasets/jsphgfr/rain-in-australia</w:t>
        </w:r>
      </w:hyperlink>
      <w:r w:rsidRPr="007E4FAC">
        <w:t>). Diseñado computacionalmente por el Grupo 6.</w:t>
      </w:r>
    </w:p>
    <w:p w14:paraId="1A5428F1" w14:textId="77777777" w:rsidR="002E2428" w:rsidRDefault="002E2428" w:rsidP="003B0DF5">
      <w:pPr>
        <w:ind w:firstLine="698"/>
      </w:pPr>
    </w:p>
    <w:p w14:paraId="212C111D" w14:textId="01D43B3B" w:rsidR="002E2428" w:rsidRDefault="002E2428" w:rsidP="002E2428">
      <w:r w:rsidRPr="002E2428">
        <w:rPr>
          <w:b/>
          <w:bCs/>
        </w:rPr>
        <w:t>Figura 2:</w:t>
      </w:r>
      <w:r w:rsidRPr="002E2428">
        <w:t xml:space="preserve"> </w:t>
      </w:r>
      <w:r w:rsidRPr="002E2428">
        <w:rPr>
          <w:i/>
          <w:iCs/>
        </w:rPr>
        <w:t>Distribución empírica y curvas de densidad estimadas (KDE) para (a) Presión Atmosférica a las 3:00 p.m. y (b) Humedad Relativa a las 3:00 p.m.</w:t>
      </w:r>
    </w:p>
    <w:p w14:paraId="3C6EEB47" w14:textId="6034909D" w:rsidR="002E2428" w:rsidRDefault="002E2428" w:rsidP="002E2428">
      <w:pPr>
        <w:ind w:firstLine="698"/>
        <w:jc w:val="center"/>
      </w:pPr>
      <w:r w:rsidRPr="002E2428">
        <w:drawing>
          <wp:inline distT="0" distB="0" distL="0" distR="0" wp14:anchorId="5B9CB226" wp14:editId="2CE118DA">
            <wp:extent cx="3743325" cy="2518614"/>
            <wp:effectExtent l="0" t="0" r="0" b="0"/>
            <wp:docPr id="892755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55647" name=""/>
                    <pic:cNvPicPr/>
                  </pic:nvPicPr>
                  <pic:blipFill>
                    <a:blip r:embed="rId15"/>
                    <a:stretch>
                      <a:fillRect/>
                    </a:stretch>
                  </pic:blipFill>
                  <pic:spPr>
                    <a:xfrm>
                      <a:off x="0" y="0"/>
                      <a:ext cx="3750109" cy="2523178"/>
                    </a:xfrm>
                    <a:prstGeom prst="rect">
                      <a:avLst/>
                    </a:prstGeom>
                  </pic:spPr>
                </pic:pic>
              </a:graphicData>
            </a:graphic>
          </wp:inline>
        </w:drawing>
      </w:r>
    </w:p>
    <w:p w14:paraId="73E9AE78" w14:textId="77777777" w:rsidR="002E2428" w:rsidRDefault="002E2428" w:rsidP="002E2428">
      <w:pPr>
        <w:ind w:firstLine="698"/>
      </w:pPr>
      <w:r w:rsidRPr="002E2428">
        <w:rPr>
          <w:b/>
          <w:bCs/>
        </w:rPr>
        <w:t>Figura 2 (a):</w:t>
      </w:r>
      <w:r w:rsidRPr="002E2428">
        <w:t xml:space="preserve"> El histograma con KDE (</w:t>
      </w:r>
      <w:proofErr w:type="spellStart"/>
      <w:proofErr w:type="gramStart"/>
      <w:r w:rsidRPr="002E2428">
        <w:t>sns.histplot</w:t>
      </w:r>
      <w:proofErr w:type="spellEnd"/>
      <w:proofErr w:type="gramEnd"/>
      <w:r w:rsidRPr="002E2428">
        <w:t>) de la presión vespertina (Pressure3pm) evidenciando su comportamiento casi perfectamente gaussiano (normal).</w:t>
      </w:r>
    </w:p>
    <w:p w14:paraId="3F711256" w14:textId="77777777" w:rsidR="002E2428" w:rsidRDefault="002E2428" w:rsidP="002E2428">
      <w:pPr>
        <w:ind w:firstLine="698"/>
      </w:pPr>
    </w:p>
    <w:p w14:paraId="7D18A757" w14:textId="77777777" w:rsidR="002E2428" w:rsidRDefault="002E2428" w:rsidP="002E2428">
      <w:pPr>
        <w:ind w:firstLine="698"/>
      </w:pPr>
    </w:p>
    <w:p w14:paraId="56A5AF0C" w14:textId="77777777" w:rsidR="002E2428" w:rsidRDefault="002E2428" w:rsidP="002E2428">
      <w:pPr>
        <w:ind w:firstLine="698"/>
      </w:pPr>
    </w:p>
    <w:p w14:paraId="08FAB831" w14:textId="345DB9C8" w:rsidR="002E2428" w:rsidRDefault="002E2428" w:rsidP="002E2428">
      <w:pPr>
        <w:ind w:firstLine="698"/>
        <w:jc w:val="center"/>
      </w:pPr>
      <w:r w:rsidRPr="002E2428">
        <w:drawing>
          <wp:inline distT="0" distB="0" distL="0" distR="0" wp14:anchorId="0AACF478" wp14:editId="53DE6513">
            <wp:extent cx="3762375" cy="2420646"/>
            <wp:effectExtent l="0" t="0" r="0" b="0"/>
            <wp:docPr id="852211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11715" name=""/>
                    <pic:cNvPicPr/>
                  </pic:nvPicPr>
                  <pic:blipFill>
                    <a:blip r:embed="rId16"/>
                    <a:stretch>
                      <a:fillRect/>
                    </a:stretch>
                  </pic:blipFill>
                  <pic:spPr>
                    <a:xfrm>
                      <a:off x="0" y="0"/>
                      <a:ext cx="3768746" cy="2424745"/>
                    </a:xfrm>
                    <a:prstGeom prst="rect">
                      <a:avLst/>
                    </a:prstGeom>
                  </pic:spPr>
                </pic:pic>
              </a:graphicData>
            </a:graphic>
          </wp:inline>
        </w:drawing>
      </w:r>
    </w:p>
    <w:p w14:paraId="6BFACDA5" w14:textId="28CF5C62" w:rsidR="002E2428" w:rsidRDefault="002E2428" w:rsidP="002E2428">
      <w:pPr>
        <w:ind w:firstLine="698"/>
        <w:jc w:val="left"/>
      </w:pPr>
      <w:r w:rsidRPr="002E2428">
        <w:rPr>
          <w:b/>
          <w:bCs/>
        </w:rPr>
        <w:t>Figura 2 (b):</w:t>
      </w:r>
      <w:r w:rsidRPr="002E2428">
        <w:t xml:space="preserve"> </w:t>
      </w:r>
      <w:r>
        <w:t>H</w:t>
      </w:r>
      <w:r w:rsidRPr="002E2428">
        <w:t>istograma con KDE de la humedad vespertina (Humidity3pm), el cual muestra una distribución bimodal o aplanada debido a la transición climática.</w:t>
      </w:r>
    </w:p>
    <w:p w14:paraId="4B75982B" w14:textId="77777777" w:rsidR="002E2428" w:rsidRDefault="002E2428" w:rsidP="002E2428">
      <w:pPr>
        <w:ind w:firstLine="698"/>
        <w:jc w:val="left"/>
      </w:pPr>
    </w:p>
    <w:p w14:paraId="48086971" w14:textId="1B9D0FCD" w:rsidR="002E2428" w:rsidRDefault="002E2428" w:rsidP="002E2428">
      <w:pPr>
        <w:ind w:firstLine="698"/>
        <w:jc w:val="left"/>
      </w:pPr>
      <w:r>
        <w:rPr>
          <w:b/>
          <w:bCs/>
        </w:rPr>
        <w:t xml:space="preserve">Nota: </w:t>
      </w:r>
      <w:r w:rsidRPr="002E2428">
        <w:t>La Figura 2 expone la morfología estructural de los dos principales predictores físicos. La presión atmosférica vespertina sigue un comportamiento marcadamente simétrico y acampanado. Por su parte, la humedad relativa a las 3:00 p.m. revela un comportamiento plano y extendido, con una acumulación de frecuencias en los extremos altos, patrón característico de los frentes previos a la inestabilidad pluvial.</w:t>
      </w:r>
    </w:p>
    <w:p w14:paraId="7874946A" w14:textId="77777777" w:rsidR="002E2428" w:rsidRDefault="002E2428" w:rsidP="002E2428">
      <w:pPr>
        <w:ind w:firstLine="698"/>
        <w:jc w:val="left"/>
        <w:rPr>
          <w:b/>
          <w:bCs/>
        </w:rPr>
      </w:pPr>
      <w:r>
        <w:rPr>
          <w:b/>
          <w:bCs/>
        </w:rPr>
        <w:t>Fuente:</w:t>
      </w:r>
      <w:r w:rsidRPr="007E4FAC">
        <w:t xml:space="preserve"> Adaptado de </w:t>
      </w:r>
      <w:r w:rsidRPr="007E4FAC">
        <w:rPr>
          <w:i/>
          <w:iCs/>
        </w:rPr>
        <w:t>Rain in Australia</w:t>
      </w:r>
      <w:r w:rsidRPr="007E4FAC">
        <w:t>, por J. Young, 2018 (</w:t>
      </w:r>
      <w:hyperlink r:id="rId17" w:tgtFrame="_blank" w:history="1">
        <w:r w:rsidRPr="007E4FAC">
          <w:rPr>
            <w:rStyle w:val="Hipervnculo"/>
          </w:rPr>
          <w:t>https://www.kaggle.com/datasets/jsphgfr/rain-in-australia</w:t>
        </w:r>
      </w:hyperlink>
      <w:r w:rsidRPr="007E4FAC">
        <w:t>). Diseñado computacionalmente por el Grupo 6.</w:t>
      </w:r>
    </w:p>
    <w:p w14:paraId="0A8E264A" w14:textId="77777777" w:rsidR="002E2428" w:rsidRDefault="002E2428" w:rsidP="002E2428">
      <w:pPr>
        <w:ind w:firstLine="698"/>
        <w:jc w:val="left"/>
      </w:pPr>
    </w:p>
    <w:p w14:paraId="699A9A46" w14:textId="77777777" w:rsidR="002E2428" w:rsidRDefault="002E2428" w:rsidP="002E2428">
      <w:pPr>
        <w:ind w:firstLine="698"/>
        <w:jc w:val="left"/>
      </w:pPr>
    </w:p>
    <w:p w14:paraId="635ECAE0" w14:textId="47C8CDAC" w:rsidR="002E2428" w:rsidRDefault="002E2428" w:rsidP="002E2428">
      <w:pPr>
        <w:ind w:firstLine="698"/>
        <w:jc w:val="left"/>
        <w:rPr>
          <w:i/>
          <w:iCs/>
        </w:rPr>
      </w:pPr>
      <w:r w:rsidRPr="002E2428">
        <w:rPr>
          <w:b/>
          <w:bCs/>
        </w:rPr>
        <w:t>Figura 3:</w:t>
      </w:r>
      <w:r w:rsidRPr="002E2428">
        <w:t xml:space="preserve"> </w:t>
      </w:r>
      <w:r w:rsidRPr="002E2428">
        <w:rPr>
          <w:i/>
          <w:iCs/>
        </w:rPr>
        <w:t xml:space="preserve">Matriz de coeficientes de correlación de Pearson para las variables meteorológicas del </w:t>
      </w:r>
      <w:proofErr w:type="spellStart"/>
      <w:r w:rsidRPr="002E2428">
        <w:rPr>
          <w:i/>
          <w:iCs/>
        </w:rPr>
        <w:t>dataset</w:t>
      </w:r>
      <w:proofErr w:type="spellEnd"/>
      <w:r w:rsidRPr="002E2428">
        <w:rPr>
          <w:i/>
          <w:iCs/>
        </w:rPr>
        <w:t>.</w:t>
      </w:r>
    </w:p>
    <w:p w14:paraId="309AF30B" w14:textId="77777777" w:rsidR="002E2428" w:rsidRDefault="002E2428" w:rsidP="002E2428">
      <w:pPr>
        <w:ind w:firstLine="698"/>
        <w:jc w:val="left"/>
      </w:pPr>
    </w:p>
    <w:p w14:paraId="722433DE" w14:textId="77777777" w:rsidR="002E2428" w:rsidRDefault="002E2428" w:rsidP="002E2428">
      <w:pPr>
        <w:ind w:firstLine="698"/>
        <w:jc w:val="left"/>
      </w:pPr>
    </w:p>
    <w:p w14:paraId="7A9C3B37" w14:textId="0F5F46DF" w:rsidR="00DE13DF" w:rsidRPr="00DE13DF" w:rsidRDefault="00DE13DF" w:rsidP="002E2428">
      <w:pPr>
        <w:ind w:firstLine="698"/>
        <w:jc w:val="left"/>
        <w:rPr>
          <w:b/>
          <w:bCs/>
        </w:rPr>
      </w:pPr>
      <w:r w:rsidRPr="00DE13DF">
        <w:rPr>
          <w:b/>
          <w:bCs/>
        </w:rPr>
        <w:t xml:space="preserve">Falta la matriz de coeficiente de </w:t>
      </w:r>
      <w:proofErr w:type="spellStart"/>
      <w:r w:rsidRPr="00DE13DF">
        <w:rPr>
          <w:b/>
          <w:bCs/>
        </w:rPr>
        <w:t>correlacíon</w:t>
      </w:r>
      <w:proofErr w:type="spellEnd"/>
    </w:p>
    <w:p w14:paraId="12D49708" w14:textId="77777777" w:rsidR="002E2428" w:rsidRDefault="002E2428" w:rsidP="002E2428">
      <w:pPr>
        <w:ind w:firstLine="698"/>
        <w:jc w:val="left"/>
      </w:pPr>
    </w:p>
    <w:p w14:paraId="758B6C2F" w14:textId="77777777" w:rsidR="00DE13DF" w:rsidRDefault="00DE13DF" w:rsidP="002E2428">
      <w:pPr>
        <w:ind w:firstLine="698"/>
        <w:jc w:val="left"/>
      </w:pPr>
    </w:p>
    <w:p w14:paraId="35B71D40" w14:textId="77777777" w:rsidR="00DE13DF" w:rsidRDefault="00DE13DF" w:rsidP="002E2428">
      <w:pPr>
        <w:ind w:firstLine="698"/>
        <w:jc w:val="left"/>
      </w:pPr>
    </w:p>
    <w:p w14:paraId="31E9E3B3" w14:textId="31592081" w:rsidR="00DE13DF" w:rsidRPr="00DE13DF" w:rsidRDefault="00DE13DF" w:rsidP="00240D6F">
      <w:pPr>
        <w:pStyle w:val="Ttulo2"/>
        <w:numPr>
          <w:ilvl w:val="0"/>
          <w:numId w:val="2"/>
        </w:numPr>
      </w:pPr>
      <w:bookmarkStart w:id="3" w:name="_Toc233549196"/>
      <w:r w:rsidRPr="00DE13DF">
        <w:t>Estimación Puntual e Intervalos de Confianza</w:t>
      </w:r>
      <w:bookmarkEnd w:id="3"/>
    </w:p>
    <w:p w14:paraId="74D10A3D" w14:textId="5A41C98B" w:rsidR="00DE13DF" w:rsidRPr="00DE13DF" w:rsidRDefault="00DE13DF" w:rsidP="00DE13DF">
      <w:pPr>
        <w:ind w:firstLine="698"/>
        <w:jc w:val="left"/>
      </w:pPr>
      <w:r w:rsidRPr="00DE13DF">
        <w:t xml:space="preserve">Para determinar los parámetros poblacionales determinantes en la estabilidad barométrica y psicrométrica, se estimaron tres indicadores </w:t>
      </w:r>
      <w:proofErr w:type="spellStart"/>
      <w:r w:rsidRPr="00DE13DF">
        <w:t>macroclimatológicos</w:t>
      </w:r>
      <w:proofErr w:type="spellEnd"/>
      <w:r w:rsidRPr="00DE13DF">
        <w:t xml:space="preserve"> utilizando un nivel de confianza del 95%. Amparados en el Teorema Central del Límite (</w:t>
      </w:r>
      <w:r w:rsidRPr="00DE13DF">
        <w:rPr>
          <w:i/>
          <w:iCs/>
        </w:rPr>
        <w:t>TCL</w:t>
      </w:r>
      <w:r w:rsidRPr="00DE13DF">
        <w:t>), el volumen de observaciones permite asumir distribuciones muestrales asintóticamente normales para las medias continuas y la proporción del fenómeno pluvial. La Tabla 2 resume los intervalos calculados.</w:t>
      </w:r>
    </w:p>
    <w:p w14:paraId="47460054" w14:textId="77777777" w:rsidR="00DE13DF" w:rsidRDefault="00DE13DF" w:rsidP="002E2428">
      <w:pPr>
        <w:ind w:firstLine="698"/>
        <w:jc w:val="left"/>
      </w:pPr>
    </w:p>
    <w:p w14:paraId="2A547777" w14:textId="447B07DB" w:rsidR="00DE13DF" w:rsidRDefault="00240D6F" w:rsidP="002E2428">
      <w:pPr>
        <w:ind w:firstLine="698"/>
        <w:jc w:val="left"/>
      </w:pPr>
      <w:r w:rsidRPr="00240D6F">
        <w:rPr>
          <w:b/>
          <w:bCs/>
        </w:rPr>
        <w:lastRenderedPageBreak/>
        <w:t>Tabla 2</w:t>
      </w:r>
      <w:r w:rsidRPr="00240D6F">
        <w:t xml:space="preserve"> </w:t>
      </w:r>
      <w:r w:rsidRPr="00240D6F">
        <w:rPr>
          <w:i/>
          <w:iCs/>
        </w:rPr>
        <w:t>Estimación Puntual e Intervalos de Confianza Paramétricos al 95% y 99%</w:t>
      </w:r>
    </w:p>
    <w:p w14:paraId="5F64FF5F" w14:textId="491F606F" w:rsidR="00DE13DF" w:rsidRDefault="00240D6F" w:rsidP="002E2428">
      <w:pPr>
        <w:ind w:firstLine="698"/>
        <w:jc w:val="left"/>
      </w:pPr>
      <w:r>
        <w:rPr>
          <w:noProof/>
        </w:rPr>
        <w:drawing>
          <wp:anchor distT="0" distB="0" distL="114300" distR="114300" simplePos="0" relativeHeight="251658752" behindDoc="0" locked="0" layoutInCell="1" allowOverlap="1" wp14:anchorId="491EED00" wp14:editId="53C35C50">
            <wp:simplePos x="0" y="0"/>
            <wp:positionH relativeFrom="margin">
              <wp:align>right</wp:align>
            </wp:positionH>
            <wp:positionV relativeFrom="margin">
              <wp:posOffset>355600</wp:posOffset>
            </wp:positionV>
            <wp:extent cx="5612130" cy="1108710"/>
            <wp:effectExtent l="0" t="0" r="7620" b="0"/>
            <wp:wrapSquare wrapText="bothSides"/>
            <wp:docPr id="1864562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62310" name=""/>
                    <pic:cNvPicPr/>
                  </pic:nvPicPr>
                  <pic:blipFill>
                    <a:blip r:embed="rId18">
                      <a:extLst>
                        <a:ext uri="{28A0092B-C50C-407E-A947-70E740481C1C}">
                          <a14:useLocalDpi xmlns:a14="http://schemas.microsoft.com/office/drawing/2010/main" val="0"/>
                        </a:ext>
                      </a:extLst>
                    </a:blip>
                    <a:stretch>
                      <a:fillRect/>
                    </a:stretch>
                  </pic:blipFill>
                  <pic:spPr>
                    <a:xfrm>
                      <a:off x="0" y="0"/>
                      <a:ext cx="5612130" cy="1108710"/>
                    </a:xfrm>
                    <a:prstGeom prst="rect">
                      <a:avLst/>
                    </a:prstGeom>
                  </pic:spPr>
                </pic:pic>
              </a:graphicData>
            </a:graphic>
          </wp:anchor>
        </w:drawing>
      </w:r>
    </w:p>
    <w:p w14:paraId="5FE98AB7" w14:textId="68B37F16" w:rsidR="00240D6F" w:rsidRDefault="00240D6F" w:rsidP="002E2428">
      <w:pPr>
        <w:ind w:firstLine="698"/>
        <w:jc w:val="left"/>
      </w:pPr>
    </w:p>
    <w:p w14:paraId="104893AA" w14:textId="77777777" w:rsidR="00240D6F" w:rsidRDefault="00240D6F" w:rsidP="00240D6F">
      <w:pPr>
        <w:ind w:firstLine="698"/>
        <w:jc w:val="left"/>
      </w:pPr>
      <w:r w:rsidRPr="00240D6F">
        <w:rPr>
          <w:b/>
          <w:bCs/>
          <w:i/>
          <w:iCs/>
        </w:rPr>
        <w:t>Nota</w:t>
      </w:r>
      <w:r w:rsidRPr="00240D6F">
        <w:rPr>
          <w:i/>
          <w:iCs/>
        </w:rPr>
        <w:t>.</w:t>
      </w:r>
      <w:r w:rsidRPr="00240D6F">
        <w:t xml:space="preserve"> Estimaciones basadas en el procesamiento inferencial asintótico del </w:t>
      </w:r>
      <w:proofErr w:type="spellStart"/>
      <w:r w:rsidRPr="00240D6F">
        <w:t>dataset</w:t>
      </w:r>
      <w:proofErr w:type="spellEnd"/>
      <w:r w:rsidRPr="00240D6F">
        <w:t xml:space="preserve"> </w:t>
      </w:r>
      <w:r w:rsidRPr="00240D6F">
        <w:rPr>
          <w:i/>
          <w:iCs/>
        </w:rPr>
        <w:t>Rain in Australia</w:t>
      </w:r>
      <w:r w:rsidRPr="00240D6F">
        <w:t xml:space="preserve"> (</w:t>
      </w:r>
      <w:r w:rsidRPr="00240D6F">
        <w:rPr>
          <w:i/>
          <w:iCs/>
        </w:rPr>
        <w:t>n &gt; 140,000</w:t>
      </w:r>
      <w:r w:rsidRPr="00240D6F">
        <w:t xml:space="preserve">). </w:t>
      </w:r>
    </w:p>
    <w:p w14:paraId="2BFA36D1" w14:textId="0BF44E27" w:rsidR="00240D6F" w:rsidRPr="00240D6F" w:rsidRDefault="00240D6F" w:rsidP="00240D6F">
      <w:pPr>
        <w:ind w:firstLine="698"/>
        <w:jc w:val="left"/>
      </w:pPr>
      <w:r>
        <w:rPr>
          <w:b/>
          <w:bCs/>
          <w:i/>
          <w:iCs/>
        </w:rPr>
        <w:t xml:space="preserve">Fuente: </w:t>
      </w:r>
      <w:r w:rsidRPr="00240D6F">
        <w:t>Cálculos computacionales desarrollados por el Grupo 6.</w:t>
      </w:r>
    </w:p>
    <w:p w14:paraId="4725BFA2" w14:textId="77777777" w:rsidR="00240D6F" w:rsidRDefault="00240D6F" w:rsidP="002E2428">
      <w:pPr>
        <w:ind w:firstLine="698"/>
        <w:jc w:val="left"/>
      </w:pPr>
    </w:p>
    <w:p w14:paraId="562BA50F" w14:textId="4F9356E1" w:rsidR="00240D6F" w:rsidRPr="00240D6F" w:rsidRDefault="00240D6F" w:rsidP="00240D6F">
      <w:pPr>
        <w:ind w:firstLine="698"/>
        <w:jc w:val="left"/>
      </w:pPr>
      <w:r w:rsidRPr="00240D6F">
        <w:t>Como se constata en la Tabla 2, los intervalos de confianza construidos bajo ambos umbrales de certeza (</w:t>
      </w:r>
      <w:r w:rsidRPr="00240D6F">
        <w:rPr>
          <w:i/>
          <w:iCs/>
        </w:rPr>
        <w:t>1</w:t>
      </w:r>
      <w:r w:rsidRPr="00240D6F">
        <w:rPr>
          <w:i/>
          <w:iCs/>
        </w:rPr>
        <w:t xml:space="preserve"> </w:t>
      </w:r>
      <w:r w:rsidRPr="00240D6F">
        <w:rPr>
          <w:i/>
          <w:iCs/>
        </w:rPr>
        <w:t>-</w:t>
      </w:r>
      <w:r w:rsidRPr="00240D6F">
        <w:rPr>
          <w:i/>
          <w:iCs/>
        </w:rPr>
        <w:t xml:space="preserve"> </w:t>
      </w:r>
      <w:r w:rsidRPr="00240D6F">
        <w:rPr>
          <w:i/>
          <w:iCs/>
        </w:rPr>
        <w:t xml:space="preserve">α = </w:t>
      </w:r>
      <w:r>
        <w:rPr>
          <w:i/>
          <w:iCs/>
        </w:rPr>
        <w:t>0</w:t>
      </w:r>
      <w:r w:rsidRPr="00240D6F">
        <w:rPr>
          <w:i/>
          <w:iCs/>
        </w:rPr>
        <w:t>.95</w:t>
      </w:r>
      <w:r w:rsidRPr="00240D6F">
        <w:t xml:space="preserve"> y </w:t>
      </w:r>
      <w:r w:rsidRPr="00240D6F">
        <w:rPr>
          <w:i/>
          <w:iCs/>
        </w:rPr>
        <w:t>1-</w:t>
      </w:r>
      <w:r w:rsidRPr="00240D6F">
        <w:rPr>
          <w:i/>
          <w:iCs/>
        </w:rPr>
        <w:t xml:space="preserve"> </w:t>
      </w:r>
      <w:r w:rsidRPr="00240D6F">
        <w:rPr>
          <w:i/>
          <w:iCs/>
        </w:rPr>
        <w:t xml:space="preserve">α = </w:t>
      </w:r>
      <w:r>
        <w:rPr>
          <w:i/>
          <w:iCs/>
        </w:rPr>
        <w:t>0</w:t>
      </w:r>
      <w:r w:rsidRPr="00240D6F">
        <w:rPr>
          <w:i/>
          <w:iCs/>
        </w:rPr>
        <w:t>.99</w:t>
      </w:r>
      <w:r w:rsidRPr="00240D6F">
        <w:t>) exhiben una amplitud extraordinariamente estrecha. Este fenómeno es una consecuencia matemática directa del tamaño muestral masivo del estudio (</w:t>
      </w:r>
      <w:r w:rsidRPr="00240D6F">
        <w:rPr>
          <w:i/>
          <w:iCs/>
        </w:rPr>
        <w:t>n &gt; 140,000</w:t>
      </w:r>
      <w:r w:rsidRPr="00240D6F">
        <w:t>), el cual reduce el error estándar de las distribuciones de medias asintóticamente hacia cero.</w:t>
      </w:r>
    </w:p>
    <w:p w14:paraId="63680843" w14:textId="1D38179B" w:rsidR="00240D6F" w:rsidRPr="00240D6F" w:rsidRDefault="00240D6F" w:rsidP="00240D6F">
      <w:pPr>
        <w:ind w:firstLine="698"/>
        <w:jc w:val="left"/>
      </w:pPr>
      <w:r w:rsidRPr="00240D6F">
        <w:t>En términos físicos, podemos afirmar con un 99% de confianza estadística que la media poblacional de la humedad vespertina (</w:t>
      </w:r>
      <w:r w:rsidRPr="00240D6F">
        <w:rPr>
          <w:i/>
          <w:iCs/>
        </w:rPr>
        <w:t>Humidity3pm</w:t>
      </w:r>
      <w:r w:rsidRPr="00240D6F">
        <w:t xml:space="preserve">) se encuentra contenida de forma estricta entre el </w:t>
      </w:r>
      <w:r w:rsidRPr="00240D6F">
        <w:rPr>
          <w:i/>
          <w:iCs/>
        </w:rPr>
        <w:t>51.34%</w:t>
      </w:r>
      <w:r w:rsidRPr="00240D6F">
        <w:t xml:space="preserve"> y el </w:t>
      </w:r>
      <w:r w:rsidRPr="00240D6F">
        <w:rPr>
          <w:i/>
          <w:iCs/>
        </w:rPr>
        <w:t>51.62%</w:t>
      </w:r>
      <w:r w:rsidRPr="00240D6F">
        <w:t>. Al elevar la certeza al 99%, el intervalo se expande de manera marginal en los extremos para mitigar el riesgo de error, manteniendo una precisión analítica óptima para la toma de decisiones bajo incertidumbre climática.</w:t>
      </w:r>
    </w:p>
    <w:p w14:paraId="258935FE" w14:textId="77777777" w:rsidR="00240D6F" w:rsidRDefault="00240D6F" w:rsidP="002E2428">
      <w:pPr>
        <w:ind w:firstLine="698"/>
        <w:jc w:val="left"/>
      </w:pPr>
    </w:p>
    <w:p w14:paraId="5289125D" w14:textId="77777777" w:rsidR="00240D6F" w:rsidRDefault="00240D6F" w:rsidP="002E2428">
      <w:pPr>
        <w:ind w:firstLine="698"/>
        <w:jc w:val="left"/>
      </w:pPr>
    </w:p>
    <w:p w14:paraId="65C6976B" w14:textId="1901EC4D" w:rsidR="00240D6F" w:rsidRPr="00240D6F" w:rsidRDefault="00240D6F" w:rsidP="00240D6F">
      <w:pPr>
        <w:pStyle w:val="Ttulo2"/>
      </w:pPr>
      <w:bookmarkStart w:id="4" w:name="_Toc233549197"/>
      <w:r w:rsidRPr="00240D6F">
        <w:t>4. Aplicación de Pruebas de Hipótesis</w:t>
      </w:r>
      <w:r>
        <w:t>.</w:t>
      </w:r>
      <w:bookmarkEnd w:id="4"/>
    </w:p>
    <w:p w14:paraId="0EABCC06" w14:textId="77777777" w:rsidR="00240D6F" w:rsidRPr="00240D6F" w:rsidRDefault="00240D6F" w:rsidP="00240D6F">
      <w:pPr>
        <w:pStyle w:val="Ttulo3"/>
      </w:pPr>
      <w:bookmarkStart w:id="5" w:name="_Toc233549198"/>
      <w:r w:rsidRPr="00240D6F">
        <w:t>4.1. Contraste de Medias Paramétrico: Humedad vs. Inestabilidad Pluvial</w:t>
      </w:r>
      <w:bookmarkEnd w:id="5"/>
    </w:p>
    <w:p w14:paraId="6FBEC816" w14:textId="77777777" w:rsidR="00240D6F" w:rsidRPr="00240D6F" w:rsidRDefault="00240D6F" w:rsidP="00240D6F">
      <w:pPr>
        <w:ind w:firstLine="698"/>
        <w:jc w:val="left"/>
      </w:pPr>
      <w:r w:rsidRPr="00240D6F">
        <w:t xml:space="preserve">Para evaluar si las condiciones de saturación de agua difieren significativamente en la víspera de una tormenta, se contrastaron las medias de la variable cuantitativa continua </w:t>
      </w:r>
      <w:r w:rsidRPr="00240D6F">
        <w:rPr>
          <w:i/>
          <w:iCs/>
        </w:rPr>
        <w:t>Humidity3pm</w:t>
      </w:r>
      <w:r w:rsidRPr="00240D6F">
        <w:t xml:space="preserve"> segmentada según el desenlace de la variable </w:t>
      </w:r>
      <w:proofErr w:type="gramStart"/>
      <w:r w:rsidRPr="00240D6F">
        <w:t>objetivo binaria</w:t>
      </w:r>
      <w:proofErr w:type="gramEnd"/>
      <w:r w:rsidRPr="00240D6F">
        <w:t xml:space="preserve"> </w:t>
      </w:r>
      <w:proofErr w:type="spellStart"/>
      <w:r w:rsidRPr="00240D6F">
        <w:rPr>
          <w:i/>
          <w:iCs/>
        </w:rPr>
        <w:t>RainTomorrow</w:t>
      </w:r>
      <w:proofErr w:type="spellEnd"/>
      <w:r w:rsidRPr="00240D6F">
        <w:t xml:space="preserve"> (Grupos: Yes vs. No).</w:t>
      </w:r>
    </w:p>
    <w:p w14:paraId="050EDFE5" w14:textId="7146932A" w:rsidR="00240D6F" w:rsidRDefault="00240D6F" w:rsidP="00240D6F">
      <w:pPr>
        <w:ind w:firstLine="698"/>
        <w:jc w:val="left"/>
      </w:pPr>
      <w:r w:rsidRPr="00240D6F">
        <w:t>Dado que ambas submuestras presentan varianzas y tamaños disímiles (</w:t>
      </w:r>
      <m:oMath>
        <m:sSub>
          <m:sSubPr>
            <m:ctrlPr>
              <w:rPr>
                <w:rFonts w:ascii="Cambria Math" w:hAnsi="Cambria Math"/>
              </w:rPr>
            </m:ctrlPr>
          </m:sSubPr>
          <m:e>
            <m:r>
              <w:rPr>
                <w:rFonts w:ascii="Cambria Math" w:hAnsi="Cambria Math"/>
              </w:rPr>
              <m:t>n</m:t>
            </m:r>
          </m:e>
          <m:sub>
            <m:r>
              <m:rPr>
                <m:nor/>
              </m:rPr>
              <m:t>No</m:t>
            </m:r>
          </m:sub>
        </m:sSub>
        <m:r>
          <w:rPr>
            <w:rFonts w:ascii="Cambria Math" w:hAnsi="Cambria Math"/>
          </w:rPr>
          <m:t>=110,</m:t>
        </m:r>
      </m:oMath>
      <w:proofErr w:type="gramStart"/>
      <w:r w:rsidRPr="00240D6F">
        <w:rPr>
          <w:i/>
          <w:iCs/>
        </w:rPr>
        <w:t>316</w:t>
      </w:r>
      <w:r w:rsidRPr="00240D6F">
        <w:t xml:space="preserve">; </w:t>
      </w:r>
      <w:r>
        <w:t xml:space="preserve">  </w:t>
      </w:r>
      <w:proofErr w:type="gramEnd"/>
      <w:r>
        <w:t xml:space="preserve"> </w:t>
      </w:r>
      <m:oMath>
        <m:sSub>
          <m:sSubPr>
            <m:ctrlPr>
              <w:rPr>
                <w:rFonts w:ascii="Cambria Math" w:hAnsi="Cambria Math"/>
              </w:rPr>
            </m:ctrlPr>
          </m:sSubPr>
          <m:e>
            <m:r>
              <w:rPr>
                <w:rFonts w:ascii="Cambria Math" w:hAnsi="Cambria Math"/>
              </w:rPr>
              <m:t>n</m:t>
            </m:r>
          </m:e>
          <m:sub>
            <m:r>
              <m:rPr>
                <m:nor/>
              </m:rPr>
              <m:t>Yes</m:t>
            </m:r>
          </m:sub>
        </m:sSub>
        <m:r>
          <w:rPr>
            <w:rFonts w:ascii="Cambria Math" w:hAnsi="Cambria Math"/>
          </w:rPr>
          <m:t>=31,877</m:t>
        </m:r>
      </m:oMath>
      <w:r w:rsidRPr="00240D6F">
        <w:t xml:space="preserve">), se seleccionó la </w:t>
      </w:r>
      <w:r w:rsidRPr="00240D6F">
        <w:rPr>
          <w:b/>
          <w:bCs/>
        </w:rPr>
        <w:t xml:space="preserve">Prueba </w:t>
      </w:r>
      <w:r w:rsidRPr="00240D6F">
        <w:rPr>
          <w:b/>
          <w:bCs/>
          <w:i/>
          <w:iCs/>
        </w:rPr>
        <w:t>t</w:t>
      </w:r>
      <w:r w:rsidRPr="00240D6F">
        <w:rPr>
          <w:b/>
          <w:bCs/>
        </w:rPr>
        <w:t xml:space="preserve"> de Welch</w:t>
      </w:r>
      <w:r w:rsidRPr="00240D6F">
        <w:t xml:space="preserve">, la cual no asume homogeneidad de varianzas. Fijando un nivel de significancia de </w:t>
      </w:r>
      <w:r w:rsidRPr="00240D6F">
        <w:rPr>
          <w:i/>
          <w:iCs/>
        </w:rPr>
        <w:t>α = 0.05</w:t>
      </w:r>
      <w:r w:rsidRPr="00240D6F">
        <w:t>, se formuló el siguiente contraste:</w:t>
      </w:r>
    </w:p>
    <w:p w14:paraId="024237F0" w14:textId="77777777" w:rsidR="00934F71" w:rsidRPr="00240D6F" w:rsidRDefault="00934F71" w:rsidP="00240D6F">
      <w:pPr>
        <w:ind w:firstLine="698"/>
        <w:jc w:val="left"/>
      </w:pPr>
    </w:p>
    <w:p w14:paraId="26DBBEF9" w14:textId="3C7EEF87" w:rsidR="0078279D" w:rsidRPr="0078279D" w:rsidRDefault="0078279D" w:rsidP="00934F71">
      <w:pPr>
        <w:ind w:firstLine="698"/>
        <w:jc w:val="left"/>
      </w:pPr>
      <m:oMathPara>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μ</m:t>
              </m:r>
            </m:e>
            <m:sub>
              <m:r>
                <m:rPr>
                  <m:nor/>
                </m:rPr>
                <m:t>Humedad (Lluvia)</m:t>
              </m:r>
            </m:sub>
          </m:sSub>
          <m:r>
            <w:rPr>
              <w:rFonts w:ascii="Cambria Math" w:hAnsi="Cambria Math"/>
            </w:rPr>
            <m:t>=</m:t>
          </m:r>
          <m:sSub>
            <m:sSubPr>
              <m:ctrlPr>
                <w:rPr>
                  <w:rFonts w:ascii="Cambria Math" w:hAnsi="Cambria Math"/>
                </w:rPr>
              </m:ctrlPr>
            </m:sSubPr>
            <m:e>
              <m:r>
                <w:rPr>
                  <w:rFonts w:ascii="Cambria Math" w:hAnsi="Cambria Math"/>
                </w:rPr>
                <m:t>μ</m:t>
              </m:r>
            </m:e>
            <m:sub>
              <m:r>
                <m:rPr>
                  <m:nor/>
                </m:rPr>
                <m:t>Humedad (Seco)</m:t>
              </m:r>
            </m:sub>
          </m:sSub>
        </m:oMath>
      </m:oMathPara>
    </w:p>
    <w:p w14:paraId="5984C6C6" w14:textId="77777777" w:rsidR="0078279D" w:rsidRDefault="0078279D" w:rsidP="00934F71">
      <w:pPr>
        <w:ind w:firstLine="698"/>
        <w:jc w:val="left"/>
      </w:pPr>
    </w:p>
    <w:p w14:paraId="035C07CA" w14:textId="573A159F" w:rsidR="00934F71" w:rsidRPr="00934F71" w:rsidRDefault="0078279D" w:rsidP="00934F71">
      <w:pPr>
        <w:ind w:firstLine="698"/>
        <w:jc w:val="left"/>
      </w:pPr>
      <m:oMathPara>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m:rPr>
                  <m:nor/>
                </m:rPr>
                <m:t>Humedad (Lluvia)</m:t>
              </m:r>
            </m:sub>
          </m:sSub>
          <m:r>
            <w:rPr>
              <w:rFonts w:ascii="Cambria Math" w:hAnsi="Cambria Math"/>
            </w:rPr>
            <m:t>≠</m:t>
          </m:r>
          <m:sSub>
            <m:sSubPr>
              <m:ctrlPr>
                <w:rPr>
                  <w:rFonts w:ascii="Cambria Math" w:hAnsi="Cambria Math"/>
                </w:rPr>
              </m:ctrlPr>
            </m:sSubPr>
            <m:e>
              <m:r>
                <w:rPr>
                  <w:rFonts w:ascii="Cambria Math" w:hAnsi="Cambria Math"/>
                </w:rPr>
                <m:t>μ</m:t>
              </m:r>
            </m:e>
            <m:sub>
              <m:r>
                <m:rPr>
                  <m:nor/>
                </m:rPr>
                <m:t>Humedad (Seco)</m:t>
              </m:r>
            </m:sub>
          </m:sSub>
          <m:r>
            <w:rPr>
              <w:sz w:val="32"/>
              <w:szCs w:val="36"/>
            </w:rPr>
            <w:br/>
          </m:r>
        </m:oMath>
      </m:oMathPara>
    </w:p>
    <w:p w14:paraId="5F689062" w14:textId="77777777" w:rsidR="00934F71" w:rsidRPr="00240D6F" w:rsidRDefault="00934F71" w:rsidP="00240D6F">
      <w:pPr>
        <w:ind w:firstLine="698"/>
        <w:jc w:val="left"/>
      </w:pPr>
    </w:p>
    <w:p w14:paraId="3DAC29A1" w14:textId="37FC118C" w:rsidR="00240D6F" w:rsidRPr="00240D6F" w:rsidRDefault="00240D6F" w:rsidP="00240D6F">
      <w:pPr>
        <w:ind w:firstLine="698"/>
        <w:jc w:val="left"/>
      </w:pPr>
      <w:r w:rsidRPr="00240D6F">
        <w:t xml:space="preserve">Las medias muestrales calculadas corresponden a un </w:t>
      </w:r>
      <w:r w:rsidRPr="0078279D">
        <w:rPr>
          <w:i/>
          <w:iCs/>
        </w:rPr>
        <w:t>81.14%</w:t>
      </w:r>
      <w:r w:rsidRPr="00240D6F">
        <w:t xml:space="preserve"> de humedad vespertina en el grupo de días previos a lluvia efectiva, frente a un </w:t>
      </w:r>
      <w:r w:rsidRPr="0078279D">
        <w:rPr>
          <w:i/>
          <w:iCs/>
        </w:rPr>
        <w:t>42.92%</w:t>
      </w:r>
      <w:r w:rsidRPr="00240D6F">
        <w:t xml:space="preserve"> en los días que concluyeron secos. La </w:t>
      </w:r>
      <w:r w:rsidRPr="00240D6F">
        <w:lastRenderedPageBreak/>
        <w:t xml:space="preserve">rutina informática arrojó un estadístico </w:t>
      </w:r>
      <w:r w:rsidRPr="0078279D">
        <w:rPr>
          <w:i/>
          <w:iCs/>
        </w:rPr>
        <w:t>t = 241.97</w:t>
      </w:r>
      <w:r w:rsidRPr="00240D6F">
        <w:t xml:space="preserve"> con un valor </w:t>
      </w:r>
      <w:r w:rsidRPr="0078279D">
        <w:rPr>
          <w:i/>
          <w:iCs/>
        </w:rPr>
        <w:t>p &lt; 0.0001</w:t>
      </w:r>
      <w:r w:rsidRPr="00240D6F">
        <w:t>, provocando el rechazo categórico de la hipótesis nula (</w:t>
      </w:r>
      <w:r w:rsidRPr="0078279D">
        <w:rPr>
          <w:i/>
          <w:iCs/>
        </w:rPr>
        <w:t>H</w:t>
      </w:r>
      <w:r w:rsidRPr="0078279D">
        <w:rPr>
          <w:i/>
          <w:iCs/>
          <w:sz w:val="28"/>
          <w:szCs w:val="32"/>
          <w:vertAlign w:val="subscript"/>
        </w:rPr>
        <w:t>0</w:t>
      </w:r>
      <w:r w:rsidRPr="00240D6F">
        <w:t>).</w:t>
      </w:r>
    </w:p>
    <w:p w14:paraId="10C5CC86" w14:textId="5372918C" w:rsidR="00240D6F" w:rsidRDefault="00240D6F" w:rsidP="00240D6F">
      <w:pPr>
        <w:ind w:firstLine="698"/>
        <w:jc w:val="left"/>
      </w:pPr>
      <w:r w:rsidRPr="00240D6F">
        <w:t xml:space="preserve">El tamaño del efecto evaluado mediante la </w:t>
      </w:r>
      <w:r w:rsidRPr="0078279D">
        <w:rPr>
          <w:b/>
          <w:bCs/>
          <w:i/>
          <w:iCs/>
        </w:rPr>
        <w:t>d</w:t>
      </w:r>
      <w:r w:rsidRPr="00240D6F">
        <w:rPr>
          <w:b/>
          <w:bCs/>
        </w:rPr>
        <w:t xml:space="preserve"> de Cohen</w:t>
      </w:r>
      <w:r w:rsidRPr="00240D6F">
        <w:t xml:space="preserve"> es de </w:t>
      </w:r>
      <w:r w:rsidRPr="00335284">
        <w:rPr>
          <w:i/>
          <w:iCs/>
        </w:rPr>
        <w:t>1.21</w:t>
      </w:r>
      <w:r w:rsidRPr="00240D6F">
        <w:t xml:space="preserve">, un impacto considerado estadísticamente </w:t>
      </w:r>
      <w:r w:rsidRPr="00240D6F">
        <w:rPr>
          <w:b/>
          <w:bCs/>
        </w:rPr>
        <w:t>grande y severo</w:t>
      </w:r>
      <w:r w:rsidRPr="00240D6F">
        <w:t>. A diferencia del modelamiento de variables crediticias, la humedad actúa aquí como un predictor discriminador tajante y un biomarcador físico directo del sistema meteorológico.</w:t>
      </w:r>
    </w:p>
    <w:p w14:paraId="065CBCD2" w14:textId="77777777" w:rsidR="004C2478" w:rsidRPr="00240D6F" w:rsidRDefault="004C2478" w:rsidP="00240D6F">
      <w:pPr>
        <w:ind w:firstLine="698"/>
        <w:jc w:val="left"/>
      </w:pPr>
    </w:p>
    <w:p w14:paraId="5D9E9BC6" w14:textId="1834DC54" w:rsidR="00240D6F" w:rsidRDefault="00E61769" w:rsidP="002E2428">
      <w:pPr>
        <w:ind w:firstLine="698"/>
        <w:jc w:val="left"/>
      </w:pPr>
      <w:r w:rsidRPr="00E61769">
        <w:rPr>
          <w:b/>
          <w:bCs/>
        </w:rPr>
        <w:t>Figura 4</w:t>
      </w:r>
      <w:r w:rsidRPr="00E61769">
        <w:t xml:space="preserve"> </w:t>
      </w:r>
      <w:r w:rsidRPr="00E61769">
        <w:rPr>
          <w:i/>
          <w:iCs/>
        </w:rPr>
        <w:t>Distribución de la Humedad Relativa a las 3:00 p.m. condicionada por la Ocurrencia Pluvial al Día Siguiente.</w:t>
      </w:r>
      <w:r w:rsidRPr="00E61769">
        <w:t xml:space="preserve"> </w:t>
      </w:r>
      <w:r w:rsidRPr="00E61769">
        <w:rPr>
          <w:i/>
          <w:iCs/>
        </w:rPr>
        <w:t>Nota.</w:t>
      </w:r>
      <w:r w:rsidRPr="00E61769">
        <w:t xml:space="preserve"> Procesamiento inferencial ejecutado por el Grupo 6.</w:t>
      </w:r>
    </w:p>
    <w:p w14:paraId="33ABF170" w14:textId="4663F6CF" w:rsidR="004C2478" w:rsidRDefault="004C2478" w:rsidP="002E2428">
      <w:pPr>
        <w:ind w:firstLine="698"/>
        <w:jc w:val="left"/>
      </w:pPr>
      <w:r w:rsidRPr="004C2478">
        <w:drawing>
          <wp:inline distT="0" distB="0" distL="0" distR="0" wp14:anchorId="04003A58" wp14:editId="4AEE3278">
            <wp:extent cx="4579315" cy="2747174"/>
            <wp:effectExtent l="0" t="0" r="0" b="0"/>
            <wp:docPr id="1490685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85243" name=""/>
                    <pic:cNvPicPr/>
                  </pic:nvPicPr>
                  <pic:blipFill>
                    <a:blip r:embed="rId19"/>
                    <a:stretch>
                      <a:fillRect/>
                    </a:stretch>
                  </pic:blipFill>
                  <pic:spPr>
                    <a:xfrm>
                      <a:off x="0" y="0"/>
                      <a:ext cx="4585801" cy="2751065"/>
                    </a:xfrm>
                    <a:prstGeom prst="rect">
                      <a:avLst/>
                    </a:prstGeom>
                  </pic:spPr>
                </pic:pic>
              </a:graphicData>
            </a:graphic>
          </wp:inline>
        </w:drawing>
      </w:r>
    </w:p>
    <w:p w14:paraId="053D39F9" w14:textId="77777777" w:rsidR="008439FA" w:rsidRDefault="008439FA" w:rsidP="002E2428">
      <w:pPr>
        <w:ind w:firstLine="698"/>
        <w:jc w:val="left"/>
      </w:pPr>
    </w:p>
    <w:p w14:paraId="2C8F5888" w14:textId="0228AB9F" w:rsidR="00240CB2" w:rsidRDefault="00240CB2" w:rsidP="00240CB2">
      <w:pPr>
        <w:pStyle w:val="Ttulo3"/>
        <w:numPr>
          <w:ilvl w:val="0"/>
          <w:numId w:val="2"/>
        </w:numPr>
      </w:pPr>
      <w:bookmarkStart w:id="6" w:name="_Toc233549199"/>
      <w:r w:rsidRPr="00240CB2">
        <w:t>Documentación de Procedimientos y Trazabilidad</w:t>
      </w:r>
      <w:bookmarkEnd w:id="6"/>
    </w:p>
    <w:p w14:paraId="196CE8B8" w14:textId="77777777" w:rsidR="00240CB2" w:rsidRPr="00240CB2" w:rsidRDefault="00240CB2" w:rsidP="00240CB2">
      <w:pPr>
        <w:pStyle w:val="Prrafodelista"/>
        <w:ind w:firstLine="0"/>
      </w:pPr>
    </w:p>
    <w:p w14:paraId="12442EAE" w14:textId="77777777" w:rsidR="00240CB2" w:rsidRPr="00240CB2" w:rsidRDefault="00240CB2" w:rsidP="00240CB2">
      <w:pPr>
        <w:ind w:firstLine="698"/>
        <w:jc w:val="left"/>
      </w:pPr>
      <w:r w:rsidRPr="00240CB2">
        <w:t xml:space="preserve">Para garantizar la reproducibilidad científica exigida en el programa de Magíster, el </w:t>
      </w:r>
      <w:r w:rsidRPr="00240CB2">
        <w:rPr>
          <w:b/>
          <w:bCs/>
        </w:rPr>
        <w:t>Grupo 6</w:t>
      </w:r>
      <w:r w:rsidRPr="00240CB2">
        <w:t xml:space="preserve"> implementó una arquitectura de código estructurada y modular. El cuaderno de trabajo </w:t>
      </w:r>
      <w:proofErr w:type="spellStart"/>
      <w:r w:rsidRPr="00240CB2">
        <w:t>Jupyter</w:t>
      </w:r>
      <w:proofErr w:type="spellEnd"/>
      <w:r w:rsidRPr="00240CB2">
        <w:t xml:space="preserve"> Notebook adjunto fue diseñado de manera lineal, permitiendo que cualquier auditor de datos replique la totalidad del flujo metodológico (carga, cálculo y visualización) de forma cronológica y libre de errores de entorno.</w:t>
      </w:r>
    </w:p>
    <w:p w14:paraId="5CBF7172" w14:textId="602A1949" w:rsidR="00240CB2" w:rsidRPr="00240CB2" w:rsidRDefault="00240CB2" w:rsidP="00240CB2">
      <w:pPr>
        <w:ind w:firstLine="698"/>
        <w:jc w:val="left"/>
      </w:pPr>
      <w:r w:rsidRPr="00240CB2">
        <w:t xml:space="preserve">Las funciones analíticas críticas empleadas para la inferencia estadística—tales como el cálculo de intervalos de confianza paramétricos mediante la distribución </w:t>
      </w:r>
      <w:r w:rsidRPr="00636C72">
        <w:rPr>
          <w:i/>
          <w:iCs/>
        </w:rPr>
        <w:t>t</w:t>
      </w:r>
      <w:r w:rsidRPr="00240CB2">
        <w:t xml:space="preserve">-Student y la ejecución de la prueba </w:t>
      </w:r>
      <w:r w:rsidRPr="00636C72">
        <w:rPr>
          <w:i/>
          <w:iCs/>
        </w:rPr>
        <w:t>t</w:t>
      </w:r>
      <w:r w:rsidRPr="00240CB2">
        <w:t xml:space="preserve"> de Welch para varianzas heterogéneas—fueron encapsuladas de manera externa en el módulo local </w:t>
      </w:r>
      <w:proofErr w:type="spellStart"/>
      <w:r w:rsidRPr="00FD24BE">
        <w:rPr>
          <w:b/>
          <w:bCs/>
          <w:i/>
          <w:iCs/>
        </w:rPr>
        <w:t>src</w:t>
      </w:r>
      <w:proofErr w:type="spellEnd"/>
      <w:r w:rsidRPr="00FD24BE">
        <w:rPr>
          <w:b/>
          <w:bCs/>
          <w:i/>
          <w:iCs/>
        </w:rPr>
        <w:t>/estadistica_utils.py</w:t>
      </w:r>
      <w:r w:rsidRPr="00240CB2">
        <w:t>. Esta práctica de ingeniería de software previene la redundancia en el espacio de trabajo principal y asegura la transparencia algorítmica del reporte técnico.</w:t>
      </w:r>
    </w:p>
    <w:p w14:paraId="42C31A2A" w14:textId="77777777" w:rsidR="008439FA" w:rsidRDefault="008439FA" w:rsidP="002E2428">
      <w:pPr>
        <w:ind w:firstLine="698"/>
        <w:jc w:val="left"/>
      </w:pPr>
    </w:p>
    <w:p w14:paraId="74103ACC" w14:textId="77777777" w:rsidR="00636C72" w:rsidRDefault="00636C72" w:rsidP="002E2428">
      <w:pPr>
        <w:ind w:firstLine="698"/>
        <w:jc w:val="left"/>
      </w:pPr>
    </w:p>
    <w:p w14:paraId="4AC4D492" w14:textId="4546B800" w:rsidR="00636C72" w:rsidRPr="00636C72" w:rsidRDefault="00636C72" w:rsidP="00636C72">
      <w:pPr>
        <w:pStyle w:val="Ttulo3"/>
      </w:pPr>
      <w:bookmarkStart w:id="7" w:name="_Toc233549200"/>
      <w:r w:rsidRPr="00636C72">
        <w:lastRenderedPageBreak/>
        <w:t>6. Interpretación Preliminar y Conclusiones para la Toma de Decisiones</w:t>
      </w:r>
      <w:bookmarkEnd w:id="7"/>
    </w:p>
    <w:p w14:paraId="7C1BCD69" w14:textId="77777777" w:rsidR="00636C72" w:rsidRPr="00636C72" w:rsidRDefault="00636C72" w:rsidP="00636C72">
      <w:pPr>
        <w:ind w:firstLine="698"/>
        <w:jc w:val="left"/>
      </w:pPr>
      <w:r w:rsidRPr="00636C72">
        <w:t>El análisis exploratorio e inferencial desarrollado sobre el registro histórico meteorológico de la Commonwealth de Australia provee conclusiones cuantitativas fundamentales para la mitigación del riesgo operativo y la toma de decisiones estratégicas bajo escenarios de alta incertidumbre:</w:t>
      </w:r>
    </w:p>
    <w:p w14:paraId="51A43652" w14:textId="77777777" w:rsidR="00636C72" w:rsidRPr="00636C72" w:rsidRDefault="00636C72" w:rsidP="00636C72">
      <w:pPr>
        <w:numPr>
          <w:ilvl w:val="0"/>
          <w:numId w:val="3"/>
        </w:numPr>
        <w:jc w:val="left"/>
      </w:pPr>
      <w:r w:rsidRPr="00636C72">
        <w:rPr>
          <w:b/>
          <w:bCs/>
        </w:rPr>
        <w:t>Monitoreo de la Humedad Crítica:</w:t>
      </w:r>
      <w:r w:rsidRPr="00636C72">
        <w:t xml:space="preserve"> La prueba de hipótesis paramétrica demostró de forma concluyente que existe un desplazamiento severo y sistemático de la humedad relativa vespertina (</w:t>
      </w:r>
      <w:r w:rsidRPr="00636C72">
        <w:rPr>
          <w:i/>
          <w:iCs/>
        </w:rPr>
        <w:t>Humidity3pm</w:t>
      </w:r>
      <w:r w:rsidRPr="00636C72">
        <w:t>) antes de un evento de precipitación, elevando su mediana por encima del 75%. Para los tomadores de decisiones del sector agropecuario, este indicador físico actúa como un biomarcador clave para congelar los ciclos de riego automatizado, optimizando los recursos hídricos y reduciendo costos operativos.</w:t>
      </w:r>
    </w:p>
    <w:p w14:paraId="23C4C753" w14:textId="77777777" w:rsidR="00636C72" w:rsidRPr="00636C72" w:rsidRDefault="00636C72" w:rsidP="00636C72">
      <w:pPr>
        <w:numPr>
          <w:ilvl w:val="0"/>
          <w:numId w:val="3"/>
        </w:numPr>
        <w:jc w:val="left"/>
      </w:pPr>
      <w:r w:rsidRPr="00636C72">
        <w:rPr>
          <w:b/>
          <w:bCs/>
        </w:rPr>
        <w:t>Precisión Involuntaria por Volumen de Datos:</w:t>
      </w:r>
      <w:r w:rsidRPr="00636C72">
        <w:t xml:space="preserve"> Los intervalos de confianza al 95% y 99% calculados para variables termodinámicas básicas muestran amplitudes asintóticamente estrechas. Esto valida que, para la gestión logística de cuencas hidrográficas, los estimadores puntuales obtenidos por el equipo representan con una fidelidad matemática absoluta el comportamiento poblacional latente del clima continental.</w:t>
      </w:r>
    </w:p>
    <w:p w14:paraId="4F1F8555" w14:textId="77777777" w:rsidR="00636C72" w:rsidRPr="00636C72" w:rsidRDefault="00636C72" w:rsidP="00636C72">
      <w:pPr>
        <w:numPr>
          <w:ilvl w:val="0"/>
          <w:numId w:val="3"/>
        </w:numPr>
        <w:jc w:val="left"/>
      </w:pPr>
      <w:r w:rsidRPr="00636C72">
        <w:rPr>
          <w:b/>
          <w:bCs/>
        </w:rPr>
        <w:t>Estrategia para el Modelamiento Futuro:</w:t>
      </w:r>
      <w:r w:rsidRPr="00636C72">
        <w:t xml:space="preserve"> El desbalance detectado en la variable objetivo </w:t>
      </w:r>
      <w:proofErr w:type="spellStart"/>
      <w:r w:rsidRPr="00636C72">
        <w:t>RainTomorrow</w:t>
      </w:r>
      <w:proofErr w:type="spellEnd"/>
      <w:r w:rsidRPr="00636C72">
        <w:t xml:space="preserve"> (77.6% frente a 22.4%) y las altas tasas de nulidad natural en sensores de radiación solar (Sunshine), marcan la pauta para la fase sumativa subsiguiente. El modelo predictivo no podrá evaluarse mediante métricas estándar de exactitud, exigiendo en su lugar técnicas de imputación robustas y el uso de algoritmos de clasificación binaria (como regresión logística) optimizados mediante curvas ROC-AUC.</w:t>
      </w:r>
    </w:p>
    <w:p w14:paraId="1743BD0C" w14:textId="77777777" w:rsidR="005411E0" w:rsidRDefault="005411E0" w:rsidP="005411E0">
      <w:pPr>
        <w:jc w:val="left"/>
      </w:pPr>
    </w:p>
    <w:p w14:paraId="7316B21C" w14:textId="5FE8346C" w:rsidR="005411E0" w:rsidRPr="005411E0" w:rsidRDefault="005411E0" w:rsidP="005411E0">
      <w:pPr>
        <w:pStyle w:val="Ttulo3"/>
      </w:pPr>
      <w:bookmarkStart w:id="8" w:name="_Toc233549201"/>
      <w:r w:rsidRPr="005411E0">
        <w:t>7. Presentación Formal del Informe</w:t>
      </w:r>
      <w:bookmarkEnd w:id="8"/>
    </w:p>
    <w:p w14:paraId="48BBE0CB" w14:textId="4299B4E6" w:rsidR="005411E0" w:rsidRPr="005411E0" w:rsidRDefault="005411E0" w:rsidP="005411E0">
      <w:pPr>
        <w:ind w:firstLine="698"/>
        <w:jc w:val="left"/>
      </w:pPr>
      <w:r w:rsidRPr="005411E0">
        <w:t>El presente reporte técnico ejecutivo fue redactado rigurosamente bajo un registro formal y académico, cautelando el uso preciso y estricto del lenguaje estadístico de postgrado. A lo largo del documento se incorporaron y discutieron conceptos clave de la inferencia computacional, tales como estimación puntual, intervalos de confianza paramétricos, distribuciones asintóticas bajo el Teorema Central del Límite, estadísticos de contraste (</w:t>
      </w:r>
      <w:r w:rsidRPr="00B63CE1">
        <w:rPr>
          <w:i/>
          <w:iCs/>
        </w:rPr>
        <w:t>t</w:t>
      </w:r>
      <w:r w:rsidRPr="005411E0">
        <w:t xml:space="preserve"> de Welch y </w:t>
      </w:r>
      <m:oMath>
        <m:sSup>
          <m:sSupPr>
            <m:ctrlPr>
              <w:rPr>
                <w:rFonts w:ascii="Cambria Math" w:hAnsi="Cambria Math"/>
              </w:rPr>
            </m:ctrlPr>
          </m:sSupPr>
          <m:e>
            <m:r>
              <w:rPr>
                <w:rFonts w:ascii="Cambria Math" w:hAnsi="Cambria Math"/>
              </w:rPr>
              <m:t>χ</m:t>
            </m:r>
          </m:e>
          <m:sup>
            <m:r>
              <w:rPr>
                <w:rFonts w:ascii="Cambria Math" w:hAnsi="Cambria Math"/>
              </w:rPr>
              <m:t>2</m:t>
            </m:r>
          </m:sup>
        </m:sSup>
      </m:oMath>
      <w:r w:rsidRPr="005411E0">
        <w:t>), niveles de significancia (</w:t>
      </w:r>
      <w:r w:rsidR="00B63CE1" w:rsidRPr="00B63CE1">
        <w:rPr>
          <w:i/>
          <w:iCs/>
        </w:rPr>
        <w:t>α</w:t>
      </w:r>
      <w:r w:rsidRPr="00B63CE1">
        <w:rPr>
          <w:i/>
          <w:iCs/>
        </w:rPr>
        <w:t xml:space="preserve"> = 0.05</w:t>
      </w:r>
      <w:r w:rsidRPr="005411E0">
        <w:t xml:space="preserve">), valores </w:t>
      </w:r>
      <w:r w:rsidRPr="00B63CE1">
        <w:rPr>
          <w:i/>
          <w:iCs/>
        </w:rPr>
        <w:t>p</w:t>
      </w:r>
      <w:r w:rsidRPr="005411E0">
        <w:t xml:space="preserve">, y el tamaño del efecto a través de la </w:t>
      </w:r>
      <w:r w:rsidRPr="00B63CE1">
        <w:rPr>
          <w:i/>
          <w:iCs/>
        </w:rPr>
        <w:t>d</w:t>
      </w:r>
      <w:r w:rsidRPr="005411E0">
        <w:t xml:space="preserve"> de Cohen. </w:t>
      </w:r>
    </w:p>
    <w:p w14:paraId="6AABB910" w14:textId="77777777" w:rsidR="005411E0" w:rsidRPr="005411E0" w:rsidRDefault="005411E0" w:rsidP="005411E0">
      <w:pPr>
        <w:jc w:val="left"/>
      </w:pPr>
      <w:r w:rsidRPr="005411E0">
        <w:t xml:space="preserve">Para asegurar el cumplimiento metodológico y de formato solicitado por la cátedra, el equipo validó los siguientes criterios de control de calidad antes de la entrega final: </w:t>
      </w:r>
    </w:p>
    <w:p w14:paraId="58E79B8A" w14:textId="77777777" w:rsidR="005411E0" w:rsidRPr="005411E0" w:rsidRDefault="005411E0" w:rsidP="005411E0">
      <w:pPr>
        <w:numPr>
          <w:ilvl w:val="0"/>
          <w:numId w:val="4"/>
        </w:numPr>
        <w:jc w:val="left"/>
      </w:pPr>
      <w:r w:rsidRPr="005411E0">
        <w:rPr>
          <w:b/>
          <w:bCs/>
        </w:rPr>
        <w:t>Estructura y Trazabilidad:</w:t>
      </w:r>
      <w:r w:rsidRPr="005411E0">
        <w:t xml:space="preserve"> El informe respeta la jerarquía y numeración decimal de la plantilla oficial, vinculando cada afirmación analítica de forma directa con las tablas resumen y las ilustraciones exportadas desde el entorno de desarrollo. </w:t>
      </w:r>
    </w:p>
    <w:p w14:paraId="4846D938" w14:textId="77777777" w:rsidR="005411E0" w:rsidRPr="005411E0" w:rsidRDefault="005411E0" w:rsidP="005411E0">
      <w:pPr>
        <w:numPr>
          <w:ilvl w:val="0"/>
          <w:numId w:val="4"/>
        </w:numPr>
        <w:jc w:val="left"/>
      </w:pPr>
      <w:r w:rsidRPr="005411E0">
        <w:rPr>
          <w:b/>
          <w:bCs/>
        </w:rPr>
        <w:t>Normalización de Formato:</w:t>
      </w:r>
      <w:r w:rsidRPr="005411E0">
        <w:t xml:space="preserve"> Las tablas informáticas fueron adaptadas visualmente bajo los lineamientos de la normativa APA 7.ª edición, eliminando líneas verticales redundantes e incluyendo notas aclaratorias de autoría computacional. </w:t>
      </w:r>
    </w:p>
    <w:p w14:paraId="61081C3F" w14:textId="77777777" w:rsidR="005411E0" w:rsidRPr="005411E0" w:rsidRDefault="005411E0" w:rsidP="005411E0">
      <w:pPr>
        <w:numPr>
          <w:ilvl w:val="0"/>
          <w:numId w:val="4"/>
        </w:numPr>
        <w:jc w:val="left"/>
      </w:pPr>
      <w:r w:rsidRPr="005411E0">
        <w:rPr>
          <w:b/>
          <w:bCs/>
        </w:rPr>
        <w:t>Consistencia Informática:</w:t>
      </w:r>
      <w:r w:rsidRPr="005411E0">
        <w:t xml:space="preserve"> Se verificó la consistencia de los datos del encabezado de la portada institucional (identificación de los integrantes del Grupo 6, asignatura MCDI501, docente y fecha). Asimismo, se incluyó el enlace al repositorio GitHub donde se aloja el código fuente modularizado. </w:t>
      </w:r>
    </w:p>
    <w:p w14:paraId="0F30941A" w14:textId="77777777" w:rsidR="005411E0" w:rsidRDefault="005411E0" w:rsidP="005411E0">
      <w:pPr>
        <w:numPr>
          <w:ilvl w:val="0"/>
          <w:numId w:val="4"/>
        </w:numPr>
        <w:jc w:val="left"/>
      </w:pPr>
      <w:r w:rsidRPr="005411E0">
        <w:rPr>
          <w:b/>
          <w:bCs/>
        </w:rPr>
        <w:lastRenderedPageBreak/>
        <w:t>Compilación:</w:t>
      </w:r>
      <w:r w:rsidRPr="005411E0">
        <w:t xml:space="preserve"> El entregable ha sido compilado y exportado de manera nativa en formato PDF para asegurar la correcta visualización del material gráfico y los bloques de ecuaciones matemáticas al momento de su carga en la plataforma </w:t>
      </w:r>
      <w:proofErr w:type="spellStart"/>
      <w:r w:rsidRPr="005411E0">
        <w:t>Canvas</w:t>
      </w:r>
      <w:proofErr w:type="spellEnd"/>
      <w:r w:rsidRPr="005411E0">
        <w:t>.</w:t>
      </w:r>
    </w:p>
    <w:p w14:paraId="126BCF4A" w14:textId="77777777" w:rsidR="002B112B" w:rsidRDefault="002B112B" w:rsidP="002B112B">
      <w:pPr>
        <w:jc w:val="left"/>
      </w:pPr>
    </w:p>
    <w:p w14:paraId="79DA681A" w14:textId="77777777" w:rsidR="002B112B" w:rsidRPr="005411E0" w:rsidRDefault="002B112B" w:rsidP="002B112B">
      <w:pPr>
        <w:jc w:val="left"/>
      </w:pPr>
    </w:p>
    <w:p w14:paraId="1C95DBA6" w14:textId="77777777" w:rsidR="002065AB" w:rsidRDefault="002065AB" w:rsidP="002065AB">
      <w:pPr>
        <w:pStyle w:val="Ttulo3"/>
        <w:rPr>
          <w:lang w:val="en-US"/>
        </w:rPr>
      </w:pPr>
      <w:bookmarkStart w:id="9" w:name="_Toc233549202"/>
      <w:r w:rsidRPr="002065AB">
        <w:rPr>
          <w:lang w:val="en-US"/>
        </w:rPr>
        <w:t xml:space="preserve">8. </w:t>
      </w:r>
      <w:proofErr w:type="spellStart"/>
      <w:r w:rsidRPr="002065AB">
        <w:rPr>
          <w:lang w:val="en-US"/>
        </w:rPr>
        <w:t>Bibliografía</w:t>
      </w:r>
      <w:bookmarkEnd w:id="9"/>
      <w:proofErr w:type="spellEnd"/>
    </w:p>
    <w:p w14:paraId="2EAEE388" w14:textId="77777777" w:rsidR="002065AB" w:rsidRPr="002065AB" w:rsidRDefault="002065AB" w:rsidP="002065AB">
      <w:pPr>
        <w:rPr>
          <w:lang w:val="en-US"/>
        </w:rPr>
      </w:pPr>
    </w:p>
    <w:p w14:paraId="3C182507" w14:textId="77777777" w:rsidR="002065AB" w:rsidRDefault="002065AB" w:rsidP="002065AB">
      <w:pPr>
        <w:jc w:val="left"/>
        <w:rPr>
          <w:lang w:val="en-US"/>
        </w:rPr>
      </w:pPr>
      <w:r w:rsidRPr="002065AB">
        <w:rPr>
          <w:lang w:val="en-US"/>
        </w:rPr>
        <w:t xml:space="preserve">McKinney, W. (2010). Data Structures for Statistical Computing in Python. In </w:t>
      </w:r>
      <w:r w:rsidRPr="002065AB">
        <w:rPr>
          <w:i/>
          <w:iCs/>
          <w:lang w:val="en-US"/>
        </w:rPr>
        <w:t>Proceedings of the 9th Python in Science Conference</w:t>
      </w:r>
      <w:r w:rsidRPr="002065AB">
        <w:rPr>
          <w:lang w:val="en-US"/>
        </w:rPr>
        <w:t xml:space="preserve"> (pp. 56–61). </w:t>
      </w:r>
    </w:p>
    <w:p w14:paraId="0398F1AE" w14:textId="77777777" w:rsidR="002065AB" w:rsidRPr="002065AB" w:rsidRDefault="002065AB" w:rsidP="002065AB">
      <w:pPr>
        <w:jc w:val="left"/>
        <w:rPr>
          <w:lang w:val="en-US"/>
        </w:rPr>
      </w:pPr>
    </w:p>
    <w:p w14:paraId="05516074" w14:textId="77777777" w:rsidR="002065AB" w:rsidRDefault="002065AB" w:rsidP="002065AB">
      <w:pPr>
        <w:jc w:val="left"/>
        <w:rPr>
          <w:lang w:val="en-US"/>
        </w:rPr>
      </w:pPr>
      <w:r w:rsidRPr="002065AB">
        <w:rPr>
          <w:lang w:val="en-US"/>
        </w:rPr>
        <w:t xml:space="preserve">Virtanen, P., </w:t>
      </w:r>
      <w:proofErr w:type="spellStart"/>
      <w:r w:rsidRPr="002065AB">
        <w:rPr>
          <w:lang w:val="en-US"/>
        </w:rPr>
        <w:t>Gommers</w:t>
      </w:r>
      <w:proofErr w:type="spellEnd"/>
      <w:r w:rsidRPr="002065AB">
        <w:rPr>
          <w:lang w:val="en-US"/>
        </w:rPr>
        <w:t xml:space="preserve">, R., Oliphant, T. E., Haberland, M., Reddy, T., </w:t>
      </w:r>
      <w:proofErr w:type="spellStart"/>
      <w:r w:rsidRPr="002065AB">
        <w:rPr>
          <w:lang w:val="en-US"/>
        </w:rPr>
        <w:t>Cournapeau</w:t>
      </w:r>
      <w:proofErr w:type="spellEnd"/>
      <w:r w:rsidRPr="002065AB">
        <w:rPr>
          <w:lang w:val="en-US"/>
        </w:rPr>
        <w:t xml:space="preserve">, D., ... &amp; SciPy 1.0 Contributors. (2020). SciPy 1.0: Fundamental Algorithms for Scientific Computing in Python. </w:t>
      </w:r>
      <w:r w:rsidRPr="002065AB">
        <w:rPr>
          <w:i/>
          <w:iCs/>
          <w:lang w:val="en-US"/>
        </w:rPr>
        <w:t>Nature Methods</w:t>
      </w:r>
      <w:r w:rsidRPr="002065AB">
        <w:rPr>
          <w:lang w:val="en-US"/>
        </w:rPr>
        <w:t xml:space="preserve">, </w:t>
      </w:r>
      <w:r w:rsidRPr="002065AB">
        <w:rPr>
          <w:i/>
          <w:iCs/>
          <w:lang w:val="en-US"/>
        </w:rPr>
        <w:t>17</w:t>
      </w:r>
      <w:r w:rsidRPr="002065AB">
        <w:rPr>
          <w:lang w:val="en-US"/>
        </w:rPr>
        <w:t xml:space="preserve">(3), 261–272. </w:t>
      </w:r>
    </w:p>
    <w:p w14:paraId="449804A3" w14:textId="77777777" w:rsidR="002065AB" w:rsidRPr="002065AB" w:rsidRDefault="002065AB" w:rsidP="002065AB">
      <w:pPr>
        <w:jc w:val="left"/>
        <w:rPr>
          <w:lang w:val="en-US"/>
        </w:rPr>
      </w:pPr>
    </w:p>
    <w:p w14:paraId="1DEDECA1" w14:textId="77777777" w:rsidR="002065AB" w:rsidRPr="002065AB" w:rsidRDefault="002065AB" w:rsidP="002065AB">
      <w:pPr>
        <w:jc w:val="left"/>
        <w:rPr>
          <w:lang w:val="en-US"/>
        </w:rPr>
      </w:pPr>
      <w:r w:rsidRPr="002065AB">
        <w:rPr>
          <w:lang w:val="en-US"/>
        </w:rPr>
        <w:t xml:space="preserve">Young, J. (2018). </w:t>
      </w:r>
      <w:r w:rsidRPr="002065AB">
        <w:rPr>
          <w:i/>
          <w:iCs/>
          <w:lang w:val="en-US"/>
        </w:rPr>
        <w:t>Rain in Australia: Daily weather observations from numerous Australian weather stations</w:t>
      </w:r>
      <w:r w:rsidRPr="002065AB">
        <w:rPr>
          <w:lang w:val="en-US"/>
        </w:rPr>
        <w:t xml:space="preserve"> [Conjunto de </w:t>
      </w:r>
      <w:proofErr w:type="spellStart"/>
      <w:r w:rsidRPr="002065AB">
        <w:rPr>
          <w:lang w:val="en-US"/>
        </w:rPr>
        <w:t>datos</w:t>
      </w:r>
      <w:proofErr w:type="spellEnd"/>
      <w:r w:rsidRPr="002065AB">
        <w:rPr>
          <w:lang w:val="en-US"/>
        </w:rPr>
        <w:t xml:space="preserve">]. Kaggle. </w:t>
      </w:r>
      <w:hyperlink r:id="rId20" w:tgtFrame="_blank" w:history="1">
        <w:r w:rsidRPr="002065AB">
          <w:rPr>
            <w:rStyle w:val="Hipervnculo"/>
            <w:lang w:val="en-US"/>
          </w:rPr>
          <w:t>https://www.kaggle.com/datasets/jsphgfr/rain-in-australia</w:t>
        </w:r>
      </w:hyperlink>
      <w:r w:rsidRPr="002065AB">
        <w:rPr>
          <w:lang w:val="en-US"/>
        </w:rPr>
        <w:t>.</w:t>
      </w:r>
    </w:p>
    <w:p w14:paraId="59759D1B" w14:textId="77777777" w:rsidR="005411E0" w:rsidRPr="002065AB" w:rsidRDefault="005411E0" w:rsidP="005411E0">
      <w:pPr>
        <w:jc w:val="left"/>
        <w:rPr>
          <w:lang w:val="en-US"/>
        </w:rPr>
      </w:pPr>
    </w:p>
    <w:sectPr w:rsidR="005411E0" w:rsidRPr="002065AB" w:rsidSect="003B0DF5">
      <w:footerReference w:type="default" r:id="rId21"/>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39E5A" w14:textId="77777777" w:rsidR="00933816" w:rsidRDefault="00933816" w:rsidP="003B0DF5">
      <w:pPr>
        <w:spacing w:after="0" w:line="240" w:lineRule="auto"/>
      </w:pPr>
      <w:r>
        <w:separator/>
      </w:r>
    </w:p>
  </w:endnote>
  <w:endnote w:type="continuationSeparator" w:id="0">
    <w:p w14:paraId="6890B0C3" w14:textId="77777777" w:rsidR="00933816" w:rsidRDefault="00933816" w:rsidP="003B0D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AF096" w14:textId="5359527C" w:rsidR="003B0DF5" w:rsidRDefault="003B0DF5">
    <w:pPr>
      <w:pStyle w:val="Piedepgina"/>
      <w:jc w:val="right"/>
    </w:pPr>
    <w:r w:rsidRPr="003B0DF5">
      <w:rPr>
        <w:color w:val="156082" w:themeColor="accent1"/>
        <w:sz w:val="20"/>
        <w:szCs w:val="20"/>
      </w:rPr>
      <w:t>Magíster</w:t>
    </w:r>
    <w:r>
      <w:rPr>
        <w:color w:val="156082" w:themeColor="accent1"/>
        <w:sz w:val="20"/>
        <w:szCs w:val="20"/>
      </w:rPr>
      <w:t xml:space="preserve"> </w:t>
    </w:r>
    <w:r w:rsidRPr="003B0DF5">
      <w:rPr>
        <w:color w:val="156082" w:themeColor="accent1"/>
        <w:sz w:val="20"/>
        <w:szCs w:val="20"/>
      </w:rPr>
      <w:t>en</w:t>
    </w:r>
    <w:r>
      <w:rPr>
        <w:color w:val="156082" w:themeColor="accent1"/>
        <w:sz w:val="20"/>
        <w:szCs w:val="20"/>
      </w:rPr>
      <w:t xml:space="preserve"> </w:t>
    </w:r>
    <w:r w:rsidRPr="003B0DF5">
      <w:rPr>
        <w:color w:val="156082" w:themeColor="accent1"/>
        <w:sz w:val="20"/>
        <w:szCs w:val="20"/>
      </w:rPr>
      <w:t>Ciencia</w:t>
    </w:r>
    <w:r>
      <w:rPr>
        <w:color w:val="156082" w:themeColor="accent1"/>
        <w:sz w:val="20"/>
        <w:szCs w:val="20"/>
      </w:rPr>
      <w:t xml:space="preserve"> </w:t>
    </w:r>
    <w:r w:rsidRPr="003B0DF5">
      <w:rPr>
        <w:color w:val="156082" w:themeColor="accent1"/>
        <w:sz w:val="20"/>
        <w:szCs w:val="20"/>
      </w:rPr>
      <w:t>de</w:t>
    </w:r>
    <w:r>
      <w:rPr>
        <w:color w:val="156082" w:themeColor="accent1"/>
        <w:sz w:val="20"/>
        <w:szCs w:val="20"/>
      </w:rPr>
      <w:t xml:space="preserve"> </w:t>
    </w:r>
    <w:r w:rsidRPr="003B0DF5">
      <w:rPr>
        <w:color w:val="156082" w:themeColor="accent1"/>
        <w:sz w:val="20"/>
        <w:szCs w:val="20"/>
      </w:rPr>
      <w:t>Datos</w:t>
    </w:r>
    <w:r>
      <w:rPr>
        <w:color w:val="156082" w:themeColor="accent1"/>
        <w:sz w:val="20"/>
        <w:szCs w:val="20"/>
      </w:rPr>
      <w:t xml:space="preserve"> </w:t>
    </w:r>
    <w:r w:rsidRPr="003B0DF5">
      <w:rPr>
        <w:color w:val="156082" w:themeColor="accent1"/>
        <w:sz w:val="20"/>
        <w:szCs w:val="20"/>
      </w:rPr>
      <w:t>e</w:t>
    </w:r>
    <w:r>
      <w:rPr>
        <w:color w:val="156082" w:themeColor="accent1"/>
        <w:sz w:val="20"/>
        <w:szCs w:val="20"/>
      </w:rPr>
      <w:t xml:space="preserve">n </w:t>
    </w:r>
    <w:r w:rsidRPr="003B0DF5">
      <w:rPr>
        <w:color w:val="156082" w:themeColor="accent1"/>
        <w:sz w:val="20"/>
        <w:szCs w:val="20"/>
      </w:rPr>
      <w:t>Inteligencia</w:t>
    </w:r>
    <w:r>
      <w:rPr>
        <w:color w:val="156082" w:themeColor="accent1"/>
        <w:sz w:val="20"/>
        <w:szCs w:val="20"/>
      </w:rPr>
      <w:t xml:space="preserve"> </w:t>
    </w:r>
    <w:r w:rsidRPr="003B0DF5">
      <w:rPr>
        <w:color w:val="156082" w:themeColor="accent1"/>
        <w:sz w:val="20"/>
        <w:szCs w:val="20"/>
      </w:rPr>
      <w:t>Artificial</w:t>
    </w:r>
    <w:r w:rsidRPr="003B0DF5">
      <w:rPr>
        <w:color w:val="156082" w:themeColor="accent1"/>
        <w:sz w:val="20"/>
        <w:szCs w:val="20"/>
        <w:lang w:val="es-ES"/>
      </w:rPr>
      <w:t xml:space="preserve"> </w:t>
    </w:r>
    <w:r>
      <w:rPr>
        <w:color w:val="156082" w:themeColor="accent1"/>
        <w:sz w:val="20"/>
        <w:szCs w:val="20"/>
        <w:lang w:val="es-ES"/>
      </w:rPr>
      <w:tab/>
    </w:r>
    <w:r>
      <w:rPr>
        <w:color w:val="156082" w:themeColor="accent1"/>
        <w:sz w:val="20"/>
        <w:szCs w:val="20"/>
        <w:lang w:val="es-ES"/>
      </w:rPr>
      <w:tab/>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lang w:val="es-ES"/>
      </w:rPr>
      <w:t>1</w:t>
    </w:r>
    <w:r>
      <w:rPr>
        <w:color w:val="156082" w:themeColor="accent1"/>
        <w:sz w:val="20"/>
        <w:szCs w:val="20"/>
      </w:rPr>
      <w:fldChar w:fldCharType="end"/>
    </w:r>
  </w:p>
  <w:p w14:paraId="6B66D320" w14:textId="46A46CB3" w:rsidR="003B0DF5" w:rsidRDefault="003B0DF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73B4F" w14:textId="77777777" w:rsidR="00933816" w:rsidRDefault="00933816" w:rsidP="003B0DF5">
      <w:pPr>
        <w:spacing w:after="0" w:line="240" w:lineRule="auto"/>
      </w:pPr>
      <w:r>
        <w:separator/>
      </w:r>
    </w:p>
  </w:footnote>
  <w:footnote w:type="continuationSeparator" w:id="0">
    <w:p w14:paraId="0C204388" w14:textId="77777777" w:rsidR="00933816" w:rsidRDefault="00933816" w:rsidP="003B0D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C3AE0"/>
    <w:multiLevelType w:val="hybridMultilevel"/>
    <w:tmpl w:val="C4A801E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2A6E7F1B"/>
    <w:multiLevelType w:val="multilevel"/>
    <w:tmpl w:val="200CE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1358B2"/>
    <w:multiLevelType w:val="multilevel"/>
    <w:tmpl w:val="C8A4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953964"/>
    <w:multiLevelType w:val="hybridMultilevel"/>
    <w:tmpl w:val="8C5E954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445005233">
    <w:abstractNumId w:val="3"/>
  </w:num>
  <w:num w:numId="2" w16cid:durableId="582568930">
    <w:abstractNumId w:val="0"/>
  </w:num>
  <w:num w:numId="3" w16cid:durableId="1068764029">
    <w:abstractNumId w:val="1"/>
  </w:num>
  <w:num w:numId="4" w16cid:durableId="15785156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CCE"/>
    <w:rsid w:val="00153319"/>
    <w:rsid w:val="002065AB"/>
    <w:rsid w:val="00214006"/>
    <w:rsid w:val="00240CB2"/>
    <w:rsid w:val="00240D6F"/>
    <w:rsid w:val="002545F6"/>
    <w:rsid w:val="002B112B"/>
    <w:rsid w:val="002E2428"/>
    <w:rsid w:val="00335284"/>
    <w:rsid w:val="003B0DF5"/>
    <w:rsid w:val="00463687"/>
    <w:rsid w:val="004C2478"/>
    <w:rsid w:val="004D3C84"/>
    <w:rsid w:val="005411E0"/>
    <w:rsid w:val="00636C72"/>
    <w:rsid w:val="0078279D"/>
    <w:rsid w:val="007E4FAC"/>
    <w:rsid w:val="008439FA"/>
    <w:rsid w:val="00933816"/>
    <w:rsid w:val="00934F71"/>
    <w:rsid w:val="00B63CE1"/>
    <w:rsid w:val="00CD6E4A"/>
    <w:rsid w:val="00D8653B"/>
    <w:rsid w:val="00DE13DF"/>
    <w:rsid w:val="00E61769"/>
    <w:rsid w:val="00F25CCE"/>
    <w:rsid w:val="00F25D2B"/>
    <w:rsid w:val="00F47716"/>
    <w:rsid w:val="00F83F41"/>
    <w:rsid w:val="00FD24B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1270E"/>
  <w15:chartTrackingRefBased/>
  <w15:docId w15:val="{B4DBA8BB-5C35-430C-8280-220C1E06F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428"/>
    <w:pPr>
      <w:spacing w:after="3" w:line="256" w:lineRule="auto"/>
      <w:ind w:left="10" w:hanging="10"/>
      <w:jc w:val="both"/>
    </w:pPr>
    <w:rPr>
      <w:rFonts w:ascii="Calibri" w:eastAsia="Calibri" w:hAnsi="Calibri" w:cs="Calibri"/>
      <w:color w:val="000000"/>
      <w:sz w:val="22"/>
      <w:lang w:eastAsia="es-CL"/>
    </w:rPr>
  </w:style>
  <w:style w:type="paragraph" w:styleId="Ttulo1">
    <w:name w:val="heading 1"/>
    <w:basedOn w:val="Normal"/>
    <w:next w:val="Normal"/>
    <w:link w:val="Ttulo1Car"/>
    <w:uiPriority w:val="9"/>
    <w:qFormat/>
    <w:rsid w:val="00F25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25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25C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25C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25C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25C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5C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5C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5CC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5CC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25CC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25CC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25CC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25CC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25CC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25CC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25CC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25CCE"/>
    <w:rPr>
      <w:rFonts w:eastAsiaTheme="majorEastAsia" w:cstheme="majorBidi"/>
      <w:color w:val="272727" w:themeColor="text1" w:themeTint="D8"/>
    </w:rPr>
  </w:style>
  <w:style w:type="paragraph" w:styleId="Ttulo">
    <w:name w:val="Title"/>
    <w:basedOn w:val="Normal"/>
    <w:next w:val="Normal"/>
    <w:link w:val="TtuloCar"/>
    <w:uiPriority w:val="10"/>
    <w:qFormat/>
    <w:rsid w:val="00F25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25C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25CC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25C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5CCE"/>
    <w:pPr>
      <w:spacing w:before="160"/>
      <w:jc w:val="center"/>
    </w:pPr>
    <w:rPr>
      <w:i/>
      <w:iCs/>
      <w:color w:val="404040" w:themeColor="text1" w:themeTint="BF"/>
    </w:rPr>
  </w:style>
  <w:style w:type="character" w:customStyle="1" w:styleId="CitaCar">
    <w:name w:val="Cita Car"/>
    <w:basedOn w:val="Fuentedeprrafopredeter"/>
    <w:link w:val="Cita"/>
    <w:uiPriority w:val="29"/>
    <w:rsid w:val="00F25CCE"/>
    <w:rPr>
      <w:i/>
      <w:iCs/>
      <w:color w:val="404040" w:themeColor="text1" w:themeTint="BF"/>
    </w:rPr>
  </w:style>
  <w:style w:type="paragraph" w:styleId="Prrafodelista">
    <w:name w:val="List Paragraph"/>
    <w:basedOn w:val="Normal"/>
    <w:uiPriority w:val="34"/>
    <w:qFormat/>
    <w:rsid w:val="00F25CCE"/>
    <w:pPr>
      <w:ind w:left="720"/>
      <w:contextualSpacing/>
    </w:pPr>
  </w:style>
  <w:style w:type="character" w:styleId="nfasisintenso">
    <w:name w:val="Intense Emphasis"/>
    <w:basedOn w:val="Fuentedeprrafopredeter"/>
    <w:uiPriority w:val="21"/>
    <w:qFormat/>
    <w:rsid w:val="00F25CCE"/>
    <w:rPr>
      <w:i/>
      <w:iCs/>
      <w:color w:val="0F4761" w:themeColor="accent1" w:themeShade="BF"/>
    </w:rPr>
  </w:style>
  <w:style w:type="paragraph" w:styleId="Citadestacada">
    <w:name w:val="Intense Quote"/>
    <w:basedOn w:val="Normal"/>
    <w:next w:val="Normal"/>
    <w:link w:val="CitadestacadaCar"/>
    <w:uiPriority w:val="30"/>
    <w:qFormat/>
    <w:rsid w:val="00F25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25CCE"/>
    <w:rPr>
      <w:i/>
      <w:iCs/>
      <w:color w:val="0F4761" w:themeColor="accent1" w:themeShade="BF"/>
    </w:rPr>
  </w:style>
  <w:style w:type="character" w:styleId="Referenciaintensa">
    <w:name w:val="Intense Reference"/>
    <w:basedOn w:val="Fuentedeprrafopredeter"/>
    <w:uiPriority w:val="32"/>
    <w:qFormat/>
    <w:rsid w:val="00F25CCE"/>
    <w:rPr>
      <w:b/>
      <w:bCs/>
      <w:smallCaps/>
      <w:color w:val="0F4761" w:themeColor="accent1" w:themeShade="BF"/>
      <w:spacing w:val="5"/>
    </w:rPr>
  </w:style>
  <w:style w:type="paragraph" w:styleId="TtuloTDC">
    <w:name w:val="TOC Heading"/>
    <w:basedOn w:val="Ttulo1"/>
    <w:next w:val="Normal"/>
    <w:uiPriority w:val="39"/>
    <w:unhideWhenUsed/>
    <w:qFormat/>
    <w:rsid w:val="003B0DF5"/>
    <w:pPr>
      <w:spacing w:before="240" w:after="0" w:line="259" w:lineRule="auto"/>
      <w:outlineLvl w:val="9"/>
    </w:pPr>
    <w:rPr>
      <w:kern w:val="0"/>
      <w:sz w:val="32"/>
      <w:szCs w:val="32"/>
      <w14:ligatures w14:val="none"/>
    </w:rPr>
  </w:style>
  <w:style w:type="paragraph" w:styleId="TDC2">
    <w:name w:val="toc 2"/>
    <w:basedOn w:val="Normal"/>
    <w:next w:val="Normal"/>
    <w:autoRedefine/>
    <w:uiPriority w:val="39"/>
    <w:unhideWhenUsed/>
    <w:rsid w:val="003B0DF5"/>
    <w:pPr>
      <w:spacing w:after="100"/>
      <w:ind w:left="220"/>
    </w:pPr>
  </w:style>
  <w:style w:type="character" w:styleId="Hipervnculo">
    <w:name w:val="Hyperlink"/>
    <w:basedOn w:val="Fuentedeprrafopredeter"/>
    <w:uiPriority w:val="99"/>
    <w:unhideWhenUsed/>
    <w:rsid w:val="003B0DF5"/>
    <w:rPr>
      <w:color w:val="467886" w:themeColor="hyperlink"/>
      <w:u w:val="single"/>
    </w:rPr>
  </w:style>
  <w:style w:type="paragraph" w:styleId="Encabezado">
    <w:name w:val="header"/>
    <w:basedOn w:val="Normal"/>
    <w:link w:val="EncabezadoCar"/>
    <w:uiPriority w:val="99"/>
    <w:unhideWhenUsed/>
    <w:rsid w:val="003B0DF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B0DF5"/>
    <w:rPr>
      <w:rFonts w:ascii="Calibri" w:eastAsia="Calibri" w:hAnsi="Calibri" w:cs="Calibri"/>
      <w:color w:val="000000"/>
      <w:sz w:val="22"/>
      <w:lang w:eastAsia="es-CL"/>
    </w:rPr>
  </w:style>
  <w:style w:type="paragraph" w:styleId="Piedepgina">
    <w:name w:val="footer"/>
    <w:basedOn w:val="Normal"/>
    <w:link w:val="PiedepginaCar"/>
    <w:uiPriority w:val="99"/>
    <w:unhideWhenUsed/>
    <w:rsid w:val="003B0DF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B0DF5"/>
    <w:rPr>
      <w:rFonts w:ascii="Calibri" w:eastAsia="Calibri" w:hAnsi="Calibri" w:cs="Calibri"/>
      <w:color w:val="000000"/>
      <w:sz w:val="22"/>
      <w:lang w:eastAsia="es-CL"/>
    </w:rPr>
  </w:style>
  <w:style w:type="character" w:styleId="Mencinsinresolver">
    <w:name w:val="Unresolved Mention"/>
    <w:basedOn w:val="Fuentedeprrafopredeter"/>
    <w:uiPriority w:val="99"/>
    <w:semiHidden/>
    <w:unhideWhenUsed/>
    <w:rsid w:val="007E4FAC"/>
    <w:rPr>
      <w:color w:val="605E5C"/>
      <w:shd w:val="clear" w:color="auto" w:fill="E1DFDD"/>
    </w:rPr>
  </w:style>
  <w:style w:type="paragraph" w:styleId="TDC3">
    <w:name w:val="toc 3"/>
    <w:basedOn w:val="Normal"/>
    <w:next w:val="Normal"/>
    <w:autoRedefine/>
    <w:uiPriority w:val="39"/>
    <w:unhideWhenUsed/>
    <w:rsid w:val="002065A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google.com/search?q=https://www.kaggle.com/datasets/jsphgfr/rain-in-australia" TargetMode="External"/><Relationship Id="rId17" Type="http://schemas.openxmlformats.org/officeDocument/2006/relationships/hyperlink" Target="https://www.google.com/search?q=https://www.kaggle.com/datasets/jsphgfr/rain-in-australia"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kaggle.com/datasets/jsphgfr/rain-in-australi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www.google.com/search?q=https://www.kaggle.com/datasets/jsphgfr/rain-in-australia"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ogle.com/search?q=https://www.kaggle.com/datasets/jsphgfr/rain-in-australia"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E4224-DFCE-46AE-8531-418C7C26F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10</Pages>
  <Words>1859</Words>
  <Characters>13913</Characters>
  <Application>Microsoft Office Word</Application>
  <DocSecurity>0</DocSecurity>
  <Lines>496</Lines>
  <Paragraphs>358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diaz giral</dc:creator>
  <cp:keywords/>
  <dc:description/>
  <cp:lastModifiedBy>luis diaz giral</cp:lastModifiedBy>
  <cp:revision>21</cp:revision>
  <dcterms:created xsi:type="dcterms:W3CDTF">2026-06-28T17:18:00Z</dcterms:created>
  <dcterms:modified xsi:type="dcterms:W3CDTF">2026-06-28T18:26:00Z</dcterms:modified>
</cp:coreProperties>
</file>