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00"/>
          <w:sz w:val="26"/>
          <w:szCs w:val="26"/>
        </w:rPr>
        <w:t xml:space="preserve">INPP Académie</w:t>
      </w:r>
    </w:p>
    <w:p>
      <w:pPr>
        <w:spacing w:after="100"/>
      </w:pPr>
      <w:r>
        <w:rPr>
          <w:rFonts w:ascii="Georgia" w:cs="Georgia" w:eastAsia="Georgia" w:hAnsi="Georgia"/>
          <w:b/>
          <w:bCs/>
          <w:color w:val="12314F"/>
          <w:sz w:val="40"/>
          <w:szCs w:val="40"/>
        </w:rPr>
        <w:t xml:space="preserve">Plateforme de formation en ligne avec abonnement, validation par le formateur, quiz et certification</w:t>
      </w:r>
    </w:p>
    <w:p>
      <w:pPr>
        <w:pBdr>
          <w:bottom w:val="single" w:color="F5C518" w:sz="18" w:space="8"/>
        </w:pBdr>
        <w:spacing w:after="240"/>
      </w:pPr>
      <w:r>
        <w:rPr>
          <w:color w:val="5D6B78"/>
          <w:sz w:val="21"/>
          <w:szCs w:val="21"/>
        </w:rPr>
        <w:t xml:space="preserve">Dossier de présentation du projet, à l’attention de la Direction Générale · Septembre 2026 · État : prototype fonctionnel</w:t>
      </w:r>
    </w:p>
    <w:p>
      <w:pPr>
        <w:pStyle w:val="Heading1"/>
      </w:pPr>
      <w:r>
        <w:t xml:space="preserve">1. Résumé</w:t>
      </w:r>
    </w:p>
    <w:p>
      <w:pPr>
        <w:spacing w:after="110" w:line="288"/>
      </w:pPr>
      <w:r>
        <w:t xml:space="preserve">Ce projet propose de doter l’INPP d’une plateforme de formation en ligne, </w:t>
      </w:r>
      <w:r>
        <w:rPr>
          <w:b/>
          <w:bCs/>
        </w:rPr>
        <w:t xml:space="preserve">INPP Académie</w:t>
      </w:r>
      <w:r>
        <w:t xml:space="preserve">, construite sur le modèle de la Cisco Networking Academy (NetAcad) : chaque personne, stagiaire ou non, dispose d’un compte ; elle peut s’abonner à un cours, mais ne peut le suivre qu’après </w:t>
      </w:r>
      <w:r>
        <w:rPr>
          <w:b/>
          <w:bCs/>
        </w:rPr>
        <w:t xml:space="preserve">validation par un formateur</w:t>
      </w:r>
      <w:r>
        <w:t xml:space="preserve"> ; chaque leçon se termine par un </w:t>
      </w:r>
      <w:r>
        <w:rPr>
          <w:b/>
          <w:bCs/>
        </w:rPr>
        <w:t xml:space="preserve">quiz</w:t>
      </w:r>
      <w:r>
        <w:t xml:space="preserve"> qu’il faut réussir pour avancer ; la réussite de tout le parcours donne un </w:t>
      </w:r>
      <w:r>
        <w:rPr>
          <w:b/>
          <w:bCs/>
        </w:rPr>
        <w:t xml:space="preserve">certificat vérifiable</w:t>
      </w:r>
      <w:r>
        <w:t xml:space="preserve">.</w:t>
      </w:r>
    </w:p>
    <w:p>
      <w:pPr>
        <w:spacing w:after="110" w:line="288"/>
      </w:pPr>
      <w:r>
        <w:t xml:space="preserve">Un prototype est déjà opérationnel : un compte formateur, dix comptes stagiaires, trois cours dont deux d’apprentissage du SQL, 13 leçons et 33 questions de quiz. Il peut être présenté en démonstration en direct.</w:t>
      </w:r>
    </w:p>
    <w:p>
      <w:pPr>
        <w:spacing w:after="110" w:line="288"/>
      </w:pPr>
      <w:r>
        <w:t xml:space="preserve"/>
      </w:r>
      <w:r>
        <w:rPr>
          <w:b/>
          <w:bCs/>
        </w:rPr>
        <w:t xml:space="preserve">Ce que le projet apporte à l’INPP :</w:t>
      </w:r>
      <w:r>
        <w:t xml:space="preserve"/>
      </w:r>
    </w:p>
    <w:p>
      <w:pPr>
        <w:pStyle w:val="ListParagraph"/>
        <w:numPr>
          <w:ilvl w:val="0"/>
          <w:numId w:val="2"/>
        </w:numPr>
        <w:spacing w:after="70" w:line="276"/>
      </w:pPr>
      <w:r>
        <w:t xml:space="preserve"/>
      </w:r>
      <w:r>
        <w:rPr>
          <w:b/>
          <w:bCs/>
        </w:rPr>
        <w:t xml:space="preserve">Le contrôle</w:t>
      </w:r>
      <w:r>
        <w:t xml:space="preserve"> : seuls les stagiaires validés par un formateur accèdent aux contenus.</w:t>
      </w:r>
    </w:p>
    <w:p>
      <w:pPr>
        <w:pStyle w:val="ListParagraph"/>
        <w:numPr>
          <w:ilvl w:val="0"/>
          <w:numId w:val="2"/>
        </w:numPr>
        <w:spacing w:after="70" w:line="276"/>
      </w:pPr>
      <w:r>
        <w:t xml:space="preserve"/>
      </w:r>
      <w:r>
        <w:rPr>
          <w:b/>
          <w:bCs/>
        </w:rPr>
        <w:t xml:space="preserve">La preuve</w:t>
      </w:r>
      <w:r>
        <w:t xml:space="preserve"> : chaque leçon est validée par un quiz ; les certificats sont vérifiables en ligne par un code unique.</w:t>
      </w:r>
    </w:p>
    <w:p>
      <w:pPr>
        <w:pStyle w:val="ListParagraph"/>
        <w:numPr>
          <w:ilvl w:val="0"/>
          <w:numId w:val="2"/>
        </w:numPr>
        <w:spacing w:after="70" w:line="276"/>
      </w:pPr>
      <w:r>
        <w:t xml:space="preserve"/>
      </w:r>
      <w:r>
        <w:rPr>
          <w:b/>
          <w:bCs/>
        </w:rPr>
        <w:t xml:space="preserve">Le pilotage</w:t>
      </w:r>
      <w:r>
        <w:t xml:space="preserve"> : le formateur voit en temps réel qui avance, qui est bloqué, avec quels scores, et suit les frais d’inscription.</w:t>
      </w:r>
    </w:p>
    <w:p>
      <w:pPr>
        <w:spacing w:after="110" w:line="288"/>
      </w:pPr>
      <w:r>
        <w:t xml:space="preserve"/>
      </w:r>
      <w:r>
        <w:rPr>
          <w:b/>
          <w:bCs/>
        </w:rPr>
        <w:t xml:space="preserve">Décision demandée :</w:t>
      </w:r>
      <w:r>
        <w:t xml:space="preserve"> autoriser un pilote de quelques semaines avec 10 stagiaires sur le parcours SQL (détail en section 13).</w:t>
      </w:r>
    </w:p>
    <w:p>
      <w:pPr>
        <w:pStyle w:val="Heading1"/>
      </w:pPr>
      <w:r>
        <w:t xml:space="preserve">2. Le problème à résoudre</w:t>
      </w:r>
    </w:p>
    <w:p>
      <w:pPr>
        <w:spacing w:after="110" w:line="288"/>
      </w:pPr>
      <w:r>
        <w:t xml:space="preserve">Lorsque des tutoriels ou des supports sont simplement partagés (fichiers, vidéos, pages web), plusieurs difficultés apparaissent :</w:t>
      </w:r>
    </w:p>
    <w:p>
      <w:pPr>
        <w:pStyle w:val="ListParagraph"/>
        <w:numPr>
          <w:ilvl w:val="0"/>
          <w:numId w:val="2"/>
        </w:numPr>
        <w:spacing w:after="70" w:line="276"/>
      </w:pPr>
      <w:r>
        <w:t xml:space="preserve">on ne sait pas </w:t>
      </w:r>
      <w:r>
        <w:rPr>
          <w:b/>
          <w:bCs/>
        </w:rPr>
        <w:t xml:space="preserve">qui</w:t>
      </w:r>
      <w:r>
        <w:t xml:space="preserve"> a réellement suivi la formation, ni si le contenu a été </w:t>
      </w:r>
      <w:r>
        <w:rPr>
          <w:b/>
          <w:bCs/>
        </w:rPr>
        <w:t xml:space="preserve">compris</w:t>
      </w:r>
      <w:r>
        <w:t xml:space="preserve"> ;</w:t>
      </w:r>
    </w:p>
    <w:p>
      <w:pPr>
        <w:pStyle w:val="ListParagraph"/>
        <w:numPr>
          <w:ilvl w:val="0"/>
          <w:numId w:val="2"/>
        </w:numPr>
        <w:spacing w:after="70" w:line="276"/>
      </w:pPr>
      <w:r>
        <w:t xml:space="preserve">un accès peut être </w:t>
      </w:r>
      <w:r>
        <w:rPr>
          <w:b/>
          <w:bCs/>
        </w:rPr>
        <w:t xml:space="preserve">partagé</w:t>
      </w:r>
      <w:r>
        <w:t xml:space="preserve"> avec des personnes non inscrites, ce qui ouvre la porte à la fraude ;</w:t>
      </w:r>
    </w:p>
    <w:p>
      <w:pPr>
        <w:pStyle w:val="ListParagraph"/>
        <w:numPr>
          <w:ilvl w:val="0"/>
          <w:numId w:val="2"/>
        </w:numPr>
        <w:spacing w:after="70" w:line="276"/>
      </w:pPr>
      <w:r>
        <w:t xml:space="preserve">aucune </w:t>
      </w:r>
      <w:r>
        <w:rPr>
          <w:b/>
          <w:bCs/>
        </w:rPr>
        <w:t xml:space="preserve">preuve</w:t>
      </w:r>
      <w:r>
        <w:t xml:space="preserve"> fiable de compétence n’est produite à la fin ;</w:t>
      </w:r>
    </w:p>
    <w:p>
      <w:pPr>
        <w:pStyle w:val="ListParagraph"/>
        <w:numPr>
          <w:ilvl w:val="0"/>
          <w:numId w:val="2"/>
        </w:numPr>
        <w:spacing w:after="70" w:line="276"/>
      </w:pPr>
      <w:r>
        <w:t xml:space="preserve">le formateur perd du temps en </w:t>
      </w:r>
      <w:r>
        <w:rPr>
          <w:b/>
          <w:bCs/>
        </w:rPr>
        <w:t xml:space="preserve">suivi manuel</w:t>
      </w:r>
      <w:r>
        <w:t xml:space="preserve"> (listes, feuilles Excel, relances) ;</w:t>
      </w:r>
    </w:p>
    <w:p>
      <w:pPr>
        <w:pStyle w:val="ListParagraph"/>
        <w:numPr>
          <w:ilvl w:val="0"/>
          <w:numId w:val="2"/>
        </w:numPr>
        <w:spacing w:after="70" w:line="276"/>
      </w:pPr>
      <w:r>
        <w:t xml:space="preserve">le </w:t>
      </w:r>
      <w:r>
        <w:rPr>
          <w:b/>
          <w:bCs/>
        </w:rPr>
        <w:t xml:space="preserve">contrôle des frais</w:t>
      </w:r>
      <w:r>
        <w:t xml:space="preserve"> d’inscription est séparé de l’accès à la formation.</w:t>
      </w:r>
    </w:p>
    <w:p>
      <w:pPr>
        <w:pStyle w:val="Heading1"/>
      </w:pPr>
      <w:r>
        <w:t xml:space="preserve">3. La solution : le parcours d’un apprenant</w:t>
      </w:r>
    </w:p>
    <w:p>
      <w:pPr>
        <w:pStyle w:val="ListParagraph"/>
        <w:numPr>
          <w:ilvl w:val="0"/>
          <w:numId w:val="3"/>
        </w:numPr>
        <w:spacing w:after="70" w:line="276"/>
      </w:pPr>
      <w:r>
        <w:t xml:space="preserve"/>
      </w:r>
      <w:r>
        <w:rPr>
          <w:b/>
          <w:bCs/>
        </w:rPr>
        <w:t xml:space="preserve">Compte personnel</w:t>
      </w:r>
      <w:r>
        <w:t xml:space="preserve"> : toute personne crée un compte, ou le formateur crée les comptes des stagiaires en lot.</w:t>
      </w:r>
    </w:p>
    <w:p>
      <w:pPr>
        <w:pStyle w:val="ListParagraph"/>
        <w:numPr>
          <w:ilvl w:val="0"/>
          <w:numId w:val="3"/>
        </w:numPr>
        <w:spacing w:after="70" w:line="276"/>
      </w:pPr>
      <w:r>
        <w:t xml:space="preserve"/>
      </w:r>
      <w:r>
        <w:rPr>
          <w:b/>
          <w:bCs/>
        </w:rPr>
        <w:t xml:space="preserve">Abonnement</w:t>
      </w:r>
      <w:r>
        <w:t xml:space="preserve"> : la personne choisit un cours dans le catalogue et demande son inscription.</w:t>
      </w:r>
    </w:p>
    <w:p>
      <w:pPr>
        <w:pStyle w:val="ListParagraph"/>
        <w:numPr>
          <w:ilvl w:val="0"/>
          <w:numId w:val="3"/>
        </w:numPr>
        <w:spacing w:after="70" w:line="276"/>
      </w:pPr>
      <w:r>
        <w:t xml:space="preserve"/>
      </w:r>
      <w:r>
        <w:rPr>
          <w:b/>
          <w:bCs/>
        </w:rPr>
        <w:t xml:space="preserve">Validation</w:t>
      </w:r>
      <w:r>
        <w:t xml:space="preserve"> : le formateur valide, refuse ou retire l’accès. Sans validation, aucune leçon n’est visible.</w:t>
      </w:r>
    </w:p>
    <w:p>
      <w:pPr>
        <w:pStyle w:val="ListParagraph"/>
        <w:numPr>
          <w:ilvl w:val="0"/>
          <w:numId w:val="3"/>
        </w:numPr>
        <w:spacing w:after="70" w:line="276"/>
      </w:pPr>
      <w:r>
        <w:t xml:space="preserve"/>
      </w:r>
      <w:r>
        <w:rPr>
          <w:b/>
          <w:bCs/>
        </w:rPr>
        <w:t xml:space="preserve">Leçons verrouillées</w:t>
      </w:r>
      <w:r>
        <w:t xml:space="preserve"> : la leçon suivante ne s’ouvre qu’après réussite du quiz de la précédente (seuil de 70 %, réglable par cours).</w:t>
      </w:r>
    </w:p>
    <w:p>
      <w:pPr>
        <w:pStyle w:val="ListParagraph"/>
        <w:numPr>
          <w:ilvl w:val="0"/>
          <w:numId w:val="3"/>
        </w:numPr>
        <w:spacing w:after="70" w:line="276"/>
      </w:pPr>
      <w:r>
        <w:t xml:space="preserve"/>
      </w:r>
      <w:r>
        <w:rPr>
          <w:b/>
          <w:bCs/>
        </w:rPr>
        <w:t xml:space="preserve">Certificat</w:t>
      </w:r>
      <w:r>
        <w:t xml:space="preserve"> : à la fin du parcours, un certificat portant un code unique est émis, imprimable et vérifiable en ligne.</w:t>
      </w:r>
    </w:p>
    <w:p>
      <w:pPr>
        <w:pStyle w:val="Heading1"/>
      </w:pPr>
      <w:r>
        <w:t xml:space="preserve">4. Fonctionnalités par acteur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Acteur</w:t>
            </w:r>
          </w:p>
        </w:tc>
        <w:tc>
          <w:tcPr>
            <w:tcW w:type="dxa" w:w="73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Ce qu’il peut faire</w:t>
            </w:r>
          </w:p>
        </w:tc>
      </w:tr>
      <w:tr>
        <w:trPr>
          <w:cantSplit/>
        </w:trPr>
        <w:tc>
          <w:tcPr>
            <w:tcW w:type="dxa" w:w="2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Visiteur</w:t>
            </w:r>
          </w:p>
        </w:tc>
        <w:tc>
          <w:tcPr>
            <w:tcW w:type="dxa" w:w="7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Consulter le catalogue et le programme de chaque cours ; créer un compte.</w:t>
            </w:r>
          </w:p>
        </w:tc>
      </w:tr>
      <w:tr>
        <w:trPr>
          <w:cantSplit/>
        </w:trPr>
        <w:tc>
          <w:tcPr>
            <w:tcW w:type="dxa" w:w="2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Stagiaire ou abonné</w:t>
            </w:r>
          </w:p>
        </w:tc>
        <w:tc>
          <w:tcPr>
            <w:tcW w:type="dxa" w:w="7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Demander un abonnement ; suivre un cours après validation ; passer les quiz ; voir sa progression ; obtenir son certificat ; s’entraîner dans le Terrain SQL.</w:t>
            </w:r>
          </w:p>
        </w:tc>
      </w:tr>
      <w:tr>
        <w:trPr>
          <w:cantSplit/>
        </w:trPr>
        <w:tc>
          <w:tcPr>
            <w:tcW w:type="dxa" w:w="2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Formateur</w:t>
            </w:r>
          </w:p>
        </w:tc>
        <w:tc>
          <w:tcPr>
            <w:tcW w:type="dxa" w:w="7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Créer cours, leçons (texte, blocs de code, images et GIF) et quiz ; créer des comptes stagiaires en lot ; valider, refuser ou retirer une inscription ; inscrire directement des stagiaires ; suivre la progression (matrice leçons × stagiaires, alertes de stagiaires bloqués, moyennes) ; exporter le suivi vers Excel ; suivre les frais (payé, non payé, exonéré).</w:t>
            </w:r>
          </w:p>
        </w:tc>
      </w:tr>
      <w:tr>
        <w:trPr>
          <w:cantSplit/>
        </w:trPr>
        <w:tc>
          <w:tcPr>
            <w:tcW w:type="dxa" w:w="2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Direction (à venir)</w:t>
            </w:r>
          </w:p>
        </w:tc>
        <w:tc>
          <w:tcPr>
            <w:tcW w:type="dxa" w:w="7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Tableau de bord global multi-formateurs et rapports d’activité : prévu en phase 2 avec un rôle administrateur.</w:t>
            </w:r>
          </w:p>
        </w:tc>
      </w:tr>
    </w:tbl>
    <w:p>
      <w:pPr>
        <w:pStyle w:val="Heading1"/>
      </w:pPr>
      <w:r>
        <w:t xml:space="preserve">5. Mesures contre la fraude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Risque</w:t>
            </w:r>
          </w:p>
        </w:tc>
        <w:tc>
          <w:tcPr>
            <w:tcW w:type="dxa" w:w="65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Mesure en place</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Accès par une personne non inscrite ou partage de compte</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Compte nominatif ; accès aux leçons uniquement après validation du formateur, retirable à tout moment ; verrouillage après 5 échecs de connexion.</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Sauter des leçons</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Déblocage séquentiel : chaque quiz réussi ouvre la leçon suivante.</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Réussir un quiz par hasard ou en copiant les réponses</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Ordre des questions et des réponses mélangé à chaque tentative ; bonnes réponses affichées seulement après réussite ; toutes les tentatives sont enregistrées et visibles du formateur.</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Faux certificat</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Code unique par certificat, vérifiable sur la plateforme.</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Mots de passe faibles ou diffusés</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Mots de passe hachés ; mot de passe temporaire à changer à la première connexion ; protection contre les formulaires falsifiés (CSRF).</w:t>
            </w:r>
          </w:p>
        </w:tc>
      </w:tr>
      <w:tr>
        <w:trPr>
          <w:cantSplit/>
        </w:trPr>
        <w:tc>
          <w:tcPr>
            <w:tcW w:type="dxa" w:w="31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Non-paiement des frais</w:t>
            </w:r>
          </w:p>
        </w:tc>
        <w:tc>
          <w:tcPr>
            <w:tcW w:type="dxa" w:w="65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Statut de frais par inscription ; blocage de l’accès activable en un réglage.</w:t>
            </w:r>
          </w:p>
        </w:tc>
      </w:tr>
    </w:tbl>
    <w:p>
      <w:pPr>
        <w:spacing w:after="100"/>
      </w:pPr>
    </w:p>
    <w:p>
      <w:pPr>
        <w:spacing w:after="110" w:line="288"/>
      </w:pPr>
      <w:r>
        <w:t xml:space="preserve"/>
      </w:r>
      <w:r>
        <w:rPr>
          <w:b/>
          <w:bCs/>
        </w:rPr>
        <w:t xml:space="preserve">Limite à connaître :</w:t>
      </w:r>
      <w:r>
        <w:t xml:space="preserve"> aucun système en ligne n’empêche totalement qu’un stagiaire se fasse aider à distance. Pour une certification à fort enjeu, il est recommandé d’ajouter un examen final surveillé en salle (prévu en phase 2).</w:t>
      </w:r>
    </w:p>
    <w:p>
      <w:pPr>
        <w:pStyle w:val="Heading1"/>
      </w:pPr>
      <w:r>
        <w:t xml:space="preserve">6. Contenu pédagogique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000"/>
        <w:gridCol w:w="1200"/>
        <w:gridCol w:w="2038"/>
      </w:tblGrid>
      <w:tr>
        <w:trPr>
          <w:tblHeader/>
        </w:trPr>
        <w:tc>
          <w:tcPr>
            <w:tcW w:type="dxa" w:w="38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Cours</w:t>
            </w:r>
          </w:p>
        </w:tc>
        <w:tc>
          <w:tcPr>
            <w:tcW w:type="dxa" w:w="16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Niveau</w:t>
            </w:r>
          </w:p>
        </w:tc>
        <w:tc>
          <w:tcPr>
            <w:tcW w:type="dxa" w:w="10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Leçons</w:t>
            </w:r>
          </w:p>
        </w:tc>
        <w:tc>
          <w:tcPr>
            <w:tcW w:type="dxa" w:w="12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Questions</w:t>
            </w:r>
          </w:p>
        </w:tc>
        <w:tc>
          <w:tcPr>
            <w:tcW w:type="dxa" w:w="20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Frais (exemple)</w:t>
            </w:r>
          </w:p>
        </w:tc>
      </w:tr>
      <w:tr>
        <w:trPr>
          <w:cantSplit/>
        </w:trPr>
        <w:tc>
          <w:tcPr>
            <w:tcW w:type="dxa" w:w="38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SQL – Niveau 1 : Fondamentaux</w:t>
            </w:r>
          </w:p>
        </w:tc>
        <w:tc>
          <w:tcPr>
            <w:tcW w:type="dxa" w:w="16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Débutant</w:t>
            </w:r>
          </w:p>
        </w:tc>
        <w:tc>
          <w:tcPr>
            <w:tcW w:type="dxa" w:w="10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6</w:t>
            </w:r>
          </w:p>
        </w:tc>
        <w:tc>
          <w:tcPr>
            <w:tcW w:type="dxa" w:w="12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17</w:t>
            </w:r>
          </w:p>
        </w:tc>
        <w:tc>
          <w:tcPr>
            <w:tcW w:type="dxa" w:w="20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Gratuit</w:t>
            </w:r>
          </w:p>
        </w:tc>
      </w:tr>
      <w:tr>
        <w:trPr>
          <w:cantSplit/>
        </w:trPr>
        <w:tc>
          <w:tcPr>
            <w:tcW w:type="dxa" w:w="38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SQL – Niveau 2 : Jointures et analyses</w:t>
            </w:r>
          </w:p>
        </w:tc>
        <w:tc>
          <w:tcPr>
            <w:tcW w:type="dxa" w:w="16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Intermédiaire</w:t>
            </w:r>
          </w:p>
        </w:tc>
        <w:tc>
          <w:tcPr>
            <w:tcW w:type="dxa" w:w="10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4</w:t>
            </w:r>
          </w:p>
        </w:tc>
        <w:tc>
          <w:tcPr>
            <w:tcW w:type="dxa" w:w="12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10</w:t>
            </w:r>
          </w:p>
        </w:tc>
        <w:tc>
          <w:tcPr>
            <w:tcW w:type="dxa" w:w="20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30 USD</w:t>
            </w:r>
          </w:p>
        </w:tc>
      </w:tr>
      <w:tr>
        <w:trPr>
          <w:cantSplit/>
        </w:trPr>
        <w:tc>
          <w:tcPr>
            <w:tcW w:type="dxa" w:w="38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Bureautique – Gérer ses fichiers et dossiers</w:t>
            </w:r>
          </w:p>
        </w:tc>
        <w:tc>
          <w:tcPr>
            <w:tcW w:type="dxa" w:w="16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Débutant</w:t>
            </w:r>
          </w:p>
        </w:tc>
        <w:tc>
          <w:tcPr>
            <w:tcW w:type="dxa" w:w="10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3</w:t>
            </w:r>
          </w:p>
        </w:tc>
        <w:tc>
          <w:tcPr>
            <w:tcW w:type="dxa" w:w="12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6</w:t>
            </w:r>
          </w:p>
        </w:tc>
        <w:tc>
          <w:tcPr>
            <w:tcW w:type="dxa" w:w="20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Gratuit</w:t>
            </w:r>
          </w:p>
        </w:tc>
      </w:tr>
    </w:tbl>
    <w:p>
      <w:pPr>
        <w:spacing w:after="100"/>
      </w:pPr>
    </w:p>
    <w:p>
      <w:pPr>
        <w:spacing w:after="110" w:line="288"/>
      </w:pPr>
      <w:r>
        <w:t xml:space="preserve"/>
      </w:r>
      <w:r>
        <w:rPr>
          <w:b/>
          <w:bCs/>
        </w:rPr>
        <w:t xml:space="preserve">Terrain SQL intégré :</w:t>
      </w:r>
      <w:r>
        <w:t xml:space="preserve"> une base d’exemple (employés, départements, projets) sur laquelle l’apprenant écrit ses propres requêtes directement dans le navigateur, avec six défis corrigés automatiquement. Le terrain est en lecture seule : rien ne peut être cassé. Les frais indiqués sont des exemples modifiables.</w:t>
      </w:r>
    </w:p>
    <w:p>
      <w:pPr>
        <w:pStyle w:val="Heading1"/>
      </w:pPr>
      <w:r>
        <w:t xml:space="preserve">7. Comparaison avec le modèle NetAcad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938"/>
        <w:gridCol w:w="1900"/>
      </w:tblGrid>
      <w:tr>
        <w:trPr>
          <w:tblHeader/>
        </w:trPr>
        <w:tc>
          <w:tcPr>
            <w:tcW w:type="dxa" w:w="27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Fonction</w:t>
            </w:r>
          </w:p>
        </w:tc>
        <w:tc>
          <w:tcPr>
            <w:tcW w:type="dxa" w:w="21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Modèle de référence (NetAcad)</w:t>
            </w:r>
          </w:p>
        </w:tc>
        <w:tc>
          <w:tcPr>
            <w:tcW w:type="dxa" w:w="29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INPP Académie (prototype)</w:t>
            </w:r>
          </w:p>
        </w:tc>
        <w:tc>
          <w:tcPr>
            <w:tcW w:type="dxa" w:w="19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Prévu</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Catalogue et inscription aux cours</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Gestion des apprenants par un instructeur</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 : validation individuelle par cours</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Classes et groupes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Quiz et progression</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 : quiz par leçon, déblocage séquentiel</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Examen final surveillé</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Certificat</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 : code vérifiable, imprimable</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Badges, PDF signé</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Travaux pratiques en ligne</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 (simulateurs)</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Terrain SQL intégré</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Autres laboratoires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Catalogue de contenus étendu</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Non : 3 cours de départ</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Production avec les formateurs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Reconnaissance internationale</w:t>
            </w:r>
          </w:p>
        </w:tc>
        <w:tc>
          <w:tcPr>
            <w:tcW w:type="dxa" w:w="21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Oui</w:t>
            </w:r>
          </w:p>
        </w:tc>
        <w:tc>
          <w:tcPr>
            <w:tcW w:type="dxa" w:w="29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Non : attestation INPP</w:t>
            </w:r>
          </w:p>
        </w:tc>
        <w:tc>
          <w:tcPr>
            <w:tcW w:type="dxa" w:w="19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Reconnaissance nationale</w:t>
            </w:r>
          </w:p>
        </w:tc>
      </w:tr>
    </w:tbl>
    <w:p>
      <w:pPr>
        <w:spacing w:after="100"/>
      </w:pPr>
    </w:p>
    <w:p>
      <w:pPr>
        <w:spacing w:after="110" w:line="288"/>
      </w:pPr>
      <w:r>
        <w:t xml:space="preserve">Rivaliser avec NetAcad par la taille du catalogue n’est pas réaliste. L’ambition est de faire </w:t>
      </w:r>
      <w:r>
        <w:rPr>
          <w:b/>
          <w:bCs/>
        </w:rPr>
        <w:t xml:space="preserve">mieux adapté aux besoins de l’INPP</w:t>
      </w:r>
      <w:r>
        <w:t xml:space="preserve"> :</w:t>
      </w:r>
    </w:p>
    <w:p>
      <w:pPr>
        <w:pStyle w:val="ListParagraph"/>
        <w:numPr>
          <w:ilvl w:val="0"/>
          <w:numId w:val="2"/>
        </w:numPr>
        <w:spacing w:after="70" w:line="276"/>
      </w:pPr>
      <w:r>
        <w:t xml:space="preserve">des contenus en français, construits par les formateurs de l’INPP pour les métiers et les réalités locales ;</w:t>
      </w:r>
    </w:p>
    <w:p>
      <w:pPr>
        <w:pStyle w:val="ListParagraph"/>
        <w:numPr>
          <w:ilvl w:val="0"/>
          <w:numId w:val="2"/>
        </w:numPr>
        <w:spacing w:after="70" w:line="276"/>
      </w:pPr>
      <w:r>
        <w:t xml:space="preserve">des </w:t>
      </w:r>
      <w:r>
        <w:rPr>
          <w:b/>
          <w:bCs/>
        </w:rPr>
        <w:t xml:space="preserve">données hébergées et maîtrisées par l’INPP</w:t>
      </w:r>
      <w:r>
        <w:t xml:space="preserve">, sans licence à payer ;</w:t>
      </w:r>
    </w:p>
    <w:p>
      <w:pPr>
        <w:pStyle w:val="ListParagraph"/>
        <w:numPr>
          <w:ilvl w:val="0"/>
          <w:numId w:val="2"/>
        </w:numPr>
        <w:spacing w:after="70" w:line="276"/>
      </w:pPr>
      <w:r>
        <w:t xml:space="preserve">le </w:t>
      </w:r>
      <w:r>
        <w:rPr>
          <w:b/>
          <w:bCs/>
        </w:rPr>
        <w:t xml:space="preserve">contrôle des frais</w:t>
      </w:r>
      <w:r>
        <w:t xml:space="preserve"> intégré au parcours d’inscription ;</w:t>
      </w:r>
    </w:p>
    <w:p>
      <w:pPr>
        <w:pStyle w:val="ListParagraph"/>
        <w:numPr>
          <w:ilvl w:val="0"/>
          <w:numId w:val="2"/>
        </w:numPr>
        <w:spacing w:after="70" w:line="276"/>
      </w:pPr>
      <w:r>
        <w:t xml:space="preserve">une plateforme </w:t>
      </w:r>
      <w:r>
        <w:rPr>
          <w:b/>
          <w:bCs/>
        </w:rPr>
        <w:t xml:space="preserve">légère</w:t>
      </w:r>
      <w:r>
        <w:t xml:space="preserve">, sans dépendance externe, qui peut fonctionner sur le réseau local d’une salle informatique.</w:t>
      </w:r>
    </w:p>
    <w:p>
      <w:pPr>
        <w:pStyle w:val="Heading1"/>
      </w:pPr>
      <w:r>
        <w:t xml:space="preserve">8. Architecture et sécurité</w:t>
      </w:r>
    </w:p>
    <w:p>
      <w:pPr>
        <w:spacing w:after="110" w:line="288"/>
      </w:pPr>
      <w:r>
        <w:t xml:space="preserve">Application web en Python (Flask) avec base de données SQLite, accessible depuis n’importe quel navigateur, ordinateur ou téléphone. Le code est court, documenté et couvert par un test automatique de bout en bout (44 contrôles : validation, verrouillage, quiz, certificat, droits, terrain SQL, export). Pour une utilisation avec de nombreux stagiaires simultanés, la base passera à PostgreSQL et l’application sera servie par un serveur de production avec HTTPS.</w:t>
      </w:r>
    </w:p>
    <w:p>
      <w:pPr>
        <w:pStyle w:val="Heading1"/>
      </w:pPr>
      <w:r>
        <w:t xml:space="preserve">9. Contrôle des frais</w:t>
      </w:r>
    </w:p>
    <w:p>
      <w:pPr>
        <w:spacing w:after="110" w:line="288"/>
      </w:pPr>
      <w:r>
        <w:t xml:space="preserve"/>
      </w:r>
      <w:r>
        <w:rPr>
          <w:b/>
          <w:bCs/>
        </w:rPr>
        <w:t xml:space="preserve">Aujourd’hui :</w:t>
      </w:r>
      <w:r>
        <w:t xml:space="preserve"> pour chaque inscription, le formateur enregistre le statut (payé, non payé, exonéré). Un réglage permet de bloquer l’accès tant que les frais ne sont pas réglés. </w:t>
      </w:r>
      <w:r>
        <w:rPr>
          <w:b/>
          <w:bCs/>
        </w:rPr>
        <w:t xml:space="preserve">Plus tard :</w:t>
      </w:r>
      <w:r>
        <w:t xml:space="preserve"> paiement en ligne intégré (les solutions de paiement mobile utilisées localement, comme M-Pesa, Airtel Money ou Orange Money, sont à étudier avec leurs opérateurs), reçus automatiques et rapport financier pour la Direction.</w:t>
      </w:r>
    </w:p>
    <w:p>
      <w:pPr>
        <w:pStyle w:val="Heading1"/>
      </w:pPr>
      <w:r>
        <w:t xml:space="preserve">10. Feuille de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238"/>
        <w:gridCol w:w="1700"/>
      </w:tblGrid>
      <w:tr>
        <w:trPr>
          <w:tblHeader/>
        </w:trPr>
        <w:tc>
          <w:tcPr>
            <w:tcW w:type="dxa" w:w="27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Phase</w:t>
            </w:r>
          </w:p>
        </w:tc>
        <w:tc>
          <w:tcPr>
            <w:tcW w:type="dxa" w:w="52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Contenu</w:t>
            </w:r>
          </w:p>
        </w:tc>
        <w:tc>
          <w:tcPr>
            <w:tcW w:type="dxa" w:w="17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Durée indicative</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0. Pilote (prototype prêt)</w:t>
            </w:r>
          </w:p>
        </w:tc>
        <w:tc>
          <w:tcPr>
            <w:tcW w:type="dxa" w:w="52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1 formateur, 10 stagiaires, parcours SQL ; collecte des retours.</w:t>
            </w:r>
          </w:p>
        </w:tc>
        <w:tc>
          <w:tcPr>
            <w:tcW w:type="dxa" w:w="17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4 semaines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1. Mise en service sécurisée</w:t>
            </w:r>
          </w:p>
        </w:tc>
        <w:tc>
          <w:tcPr>
            <w:tcW w:type="dxa" w:w="52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Hébergement, HTTPS, nom de domaine, sauvegardes automatiques, récupération de mot de passe par e-mail, rôle administrateur.</w:t>
            </w:r>
          </w:p>
        </w:tc>
        <w:tc>
          <w:tcPr>
            <w:tcW w:type="dxa" w:w="17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1 à 2 mois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2. Extension</w:t>
            </w:r>
          </w:p>
        </w:tc>
        <w:tc>
          <w:tcPr>
            <w:tcW w:type="dxa" w:w="52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Plus de formateurs et de cours, classes, examen final, paiement en ligne, rapports pour la Direction.</w:t>
            </w:r>
          </w:p>
        </w:tc>
        <w:tc>
          <w:tcPr>
            <w:tcW w:type="dxa" w:w="17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3 à 6 mois</w:t>
            </w:r>
          </w:p>
        </w:tc>
      </w:tr>
      <w:tr>
        <w:trPr>
          <w:cantSplit/>
        </w:trPr>
        <w:tc>
          <w:tcPr>
            <w:tcW w:type="dxa" w:w="27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3. Consolidation</w:t>
            </w:r>
          </w:p>
        </w:tc>
        <w:tc>
          <w:tcPr>
            <w:tcW w:type="dxa" w:w="52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Utilisation mobile et hors connexion, badges, partenariats et reconnaissance des certifications.</w:t>
            </w:r>
          </w:p>
        </w:tc>
        <w:tc>
          <w:tcPr>
            <w:tcW w:type="dxa" w:w="1700"/>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À définir</w:t>
            </w:r>
          </w:p>
        </w:tc>
      </w:tr>
    </w:tbl>
    <w:p>
      <w:pPr>
        <w:pStyle w:val="Heading1"/>
      </w:pPr>
      <w:r>
        <w:t xml:space="preserve">11. Risques et réponses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Risque</w:t>
            </w:r>
          </w:p>
        </w:tc>
        <w:tc>
          <w:tcPr>
            <w:tcW w:type="dxa" w:w="6338"/>
            <w:tcBorders>
              <w:top w:val="single" w:color="C9D0D6" w:sz="4"/>
              <w:left w:val="single" w:color="C9D0D6" w:sz="4"/>
              <w:bottom w:val="single" w:color="C9D0D6" w:sz="4"/>
              <w:right w:val="single" w:color="C9D0D6" w:sz="4"/>
            </w:tcBorders>
            <w:shd w:fill="12314F" w:color="auto" w:val="clear"/>
            <w:tcMar>
              <w:top w:type="dxa" w:w="70"/>
              <w:left w:type="dxa" w:w="110"/>
              <w:bottom w:type="dxa" w:w="70"/>
              <w:right w:type="dxa" w:w="110"/>
            </w:tcMar>
          </w:tcPr>
          <w:p>
            <w:pPr>
              <w:spacing w:after="30"/>
            </w:pPr>
            <w:r>
              <w:rPr>
                <w:b/>
                <w:bCs/>
                <w:color w:val="FFFFFF"/>
                <w:sz w:val="19"/>
                <w:szCs w:val="19"/>
              </w:rPr>
              <w:t xml:space="preserve">Réponse</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Contenu pédagogique insuffisant</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Plan de production avec les formateurs : un cours court validé par mois.</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Connexion Internet faible chez les stagiaires</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Interface légère ; utilisation en salle informatique sur le réseau local de l’INPP.</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Perte de données</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Sauvegarde automatique quotidienne et copie hors site (phase 1).</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Dépendance à une seule personne technique</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Code simple, documentation fournie, désignation d’un second référent.</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Triche sur les quiz à distance</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Mesures de la section 5 et examen final surveillé pour les certifications importantes.</w:t>
            </w:r>
          </w:p>
        </w:tc>
      </w:tr>
      <w:tr>
        <w:trPr>
          <w:cantSplit/>
        </w:trPr>
        <w:tc>
          <w:tcPr>
            <w:tcW w:type="dxa" w:w="3300"/>
            <w:tcBorders>
              <w:top w:val="single" w:color="C9D0D6" w:sz="4"/>
              <w:left w:val="single" w:color="C9D0D6" w:sz="4"/>
              <w:bottom w:val="single" w:color="C9D0D6" w:sz="4"/>
              <w:right w:val="single" w:color="C9D0D6" w:sz="4"/>
            </w:tcBorders>
            <w:shd w:fill="F1F4F7" w:color="auto" w:val="clear"/>
            <w:tcMar>
              <w:top w:type="dxa" w:w="70"/>
              <w:left w:type="dxa" w:w="110"/>
              <w:bottom w:type="dxa" w:w="70"/>
              <w:right w:type="dxa" w:w="110"/>
            </w:tcMar>
          </w:tcPr>
          <w:p>
            <w:pPr>
              <w:spacing w:after="30"/>
            </w:pPr>
            <w:r>
              <w:rPr>
                <w:sz w:val="19"/>
                <w:szCs w:val="19"/>
              </w:rPr>
              <w:t xml:space="preserve">Sécurité à l’ouverture au public</w:t>
            </w:r>
          </w:p>
        </w:tc>
        <w:tc>
          <w:tcPr>
            <w:tcW w:type="dxa" w:w="6338"/>
            <w:tcBorders>
              <w:top w:val="single" w:color="C9D0D6" w:sz="4"/>
              <w:left w:val="single" w:color="C9D0D6" w:sz="4"/>
              <w:bottom w:val="single" w:color="C9D0D6" w:sz="4"/>
              <w:right w:val="single" w:color="C9D0D6" w:sz="4"/>
            </w:tcBorders>
            <w:tcMar>
              <w:top w:type="dxa" w:w="70"/>
              <w:left w:type="dxa" w:w="110"/>
              <w:bottom w:type="dxa" w:w="70"/>
              <w:right w:type="dxa" w:w="110"/>
            </w:tcMar>
          </w:tcPr>
          <w:p>
            <w:pPr>
              <w:spacing w:after="30"/>
            </w:pPr>
            <w:r>
              <w:rPr>
                <w:sz w:val="19"/>
                <w:szCs w:val="19"/>
              </w:rPr>
              <w:t xml:space="preserve">HTTPS, mises à jour régulières, contrôle de sécurité avant ouverture.</w:t>
            </w:r>
          </w:p>
        </w:tc>
      </w:tr>
    </w:tbl>
    <w:p>
      <w:pPr>
        <w:pStyle w:val="Heading1"/>
      </w:pPr>
      <w:r>
        <w:t xml:space="preserve">12. Indicateurs de succès du pilote</w:t>
      </w:r>
    </w:p>
    <w:p>
      <w:pPr>
        <w:pStyle w:val="ListParagraph"/>
        <w:numPr>
          <w:ilvl w:val="0"/>
          <w:numId w:val="2"/>
        </w:numPr>
        <w:spacing w:after="70" w:line="276"/>
      </w:pPr>
      <w:r>
        <w:t xml:space="preserve">taux de stagiaires ayant terminé le parcours et nombre de certifiés ;</w:t>
      </w:r>
    </w:p>
    <w:p>
      <w:pPr>
        <w:pStyle w:val="ListParagraph"/>
        <w:numPr>
          <w:ilvl w:val="0"/>
          <w:numId w:val="2"/>
        </w:numPr>
        <w:spacing w:after="70" w:line="276"/>
      </w:pPr>
      <w:r>
        <w:t xml:space="preserve">taux de réussite au premier essai et score moyen par quiz ;</w:t>
      </w:r>
    </w:p>
    <w:p>
      <w:pPr>
        <w:pStyle w:val="ListParagraph"/>
        <w:numPr>
          <w:ilvl w:val="0"/>
          <w:numId w:val="2"/>
        </w:numPr>
        <w:spacing w:after="70" w:line="276"/>
      </w:pPr>
      <w:r>
        <w:t xml:space="preserve">nombre de stagiaires bloqués (3 échecs ou plus) et délai pour les débloquer ;</w:t>
      </w:r>
    </w:p>
    <w:p>
      <w:pPr>
        <w:pStyle w:val="ListParagraph"/>
        <w:numPr>
          <w:ilvl w:val="0"/>
          <w:numId w:val="2"/>
        </w:numPr>
        <w:spacing w:after="70" w:line="276"/>
      </w:pPr>
      <w:r>
        <w:t xml:space="preserve">délai moyen de validation d’une demande d’inscription ;</w:t>
      </w:r>
    </w:p>
    <w:p>
      <w:pPr>
        <w:pStyle w:val="ListParagraph"/>
        <w:numPr>
          <w:ilvl w:val="0"/>
          <w:numId w:val="2"/>
        </w:numPr>
        <w:spacing w:after="70" w:line="276"/>
      </w:pPr>
      <w:r>
        <w:t xml:space="preserve">satisfaction des stagiaires et des formateurs (questionnaire de fin de pilote).</w:t>
      </w:r>
    </w:p>
    <w:p>
      <w:pPr>
        <w:pStyle w:val="Heading1"/>
      </w:pPr>
      <w:r>
        <w:t xml:space="preserve">13. Décisions demandées à la Direction Générale</w:t>
      </w:r>
    </w:p>
    <w:p>
      <w:pPr>
        <w:pStyle w:val="ListParagraph"/>
        <w:numPr>
          <w:ilvl w:val="0"/>
          <w:numId w:val="4"/>
        </w:numPr>
        <w:spacing w:after="70" w:line="276"/>
      </w:pPr>
      <w:r>
        <w:t xml:space="preserve">Autoriser un </w:t>
      </w:r>
      <w:r>
        <w:rPr>
          <w:b/>
          <w:bCs/>
        </w:rPr>
        <w:t xml:space="preserve">pilote de 4 semaines</w:t>
      </w:r>
      <w:r>
        <w:t xml:space="preserve"> avec 10 stagiaires sur le parcours SQL.</w:t>
      </w:r>
    </w:p>
    <w:p>
      <w:pPr>
        <w:pStyle w:val="ListParagraph"/>
        <w:numPr>
          <w:ilvl w:val="0"/>
          <w:numId w:val="4"/>
        </w:numPr>
        <w:spacing w:after="70" w:line="276"/>
      </w:pPr>
      <w:r>
        <w:t xml:space="preserve">Désigner un </w:t>
      </w:r>
      <w:r>
        <w:rPr>
          <w:b/>
          <w:bCs/>
        </w:rPr>
        <w:t xml:space="preserve">formateur responsable</w:t>
      </w:r>
      <w:r>
        <w:t xml:space="preserve"> et un </w:t>
      </w:r>
      <w:r>
        <w:rPr>
          <w:b/>
          <w:bCs/>
        </w:rPr>
        <w:t xml:space="preserve">référent technique</w:t>
      </w:r>
      <w:r>
        <w:t xml:space="preserve"> (à temps partiel).</w:t>
      </w:r>
    </w:p>
    <w:p>
      <w:pPr>
        <w:pStyle w:val="ListParagraph"/>
        <w:numPr>
          <w:ilvl w:val="0"/>
          <w:numId w:val="4"/>
        </w:numPr>
        <w:spacing w:after="70" w:line="276"/>
      </w:pPr>
      <w:r>
        <w:t xml:space="preserve">Valider le </w:t>
      </w:r>
      <w:r>
        <w:rPr>
          <w:b/>
          <w:bCs/>
        </w:rPr>
        <w:t xml:space="preserve">principe des frais d’inscription</w:t>
      </w:r>
      <w:r>
        <w:t xml:space="preserve"> et leurs modalités de suivi.</w:t>
      </w:r>
    </w:p>
    <w:p>
      <w:pPr>
        <w:pStyle w:val="ListParagraph"/>
        <w:numPr>
          <w:ilvl w:val="0"/>
          <w:numId w:val="4"/>
        </w:numPr>
        <w:spacing w:after="70" w:line="276"/>
      </w:pPr>
      <w:r>
        <w:t xml:space="preserve">Choisir le </w:t>
      </w:r>
      <w:r>
        <w:rPr>
          <w:b/>
          <w:bCs/>
        </w:rPr>
        <w:t xml:space="preserve">mode d’hébergement</w:t>
      </w:r>
      <w:r>
        <w:t xml:space="preserve"> pour la phase 1 : serveur de l’INPP ou hébergement externe. Les coûts correspondants restent à chiffrer.</w:t>
      </w:r>
    </w:p>
    <w:p>
      <w:pPr>
        <w:pStyle w:val="Heading1"/>
      </w:pPr>
      <w:r>
        <w:t xml:space="preserve">Annexe. Démonstration en 10 minutes</w:t>
      </w:r>
    </w:p>
    <w:p>
      <w:pPr>
        <w:pStyle w:val="ListParagraph"/>
        <w:numPr>
          <w:ilvl w:val="0"/>
          <w:numId w:val="5"/>
        </w:numPr>
        <w:spacing w:after="70" w:line="276"/>
      </w:pPr>
      <w:r>
        <w:t xml:space="preserve">Le formateur se connecte, présente le tableau de bord et valide deux demandes d’inscription.</w:t>
      </w:r>
    </w:p>
    <w:p>
      <w:pPr>
        <w:pStyle w:val="ListParagraph"/>
        <w:numPr>
          <w:ilvl w:val="0"/>
          <w:numId w:val="5"/>
        </w:numPr>
        <w:spacing w:after="70" w:line="276"/>
      </w:pPr>
      <w:r>
        <w:t xml:space="preserve">Un stagiaire se connecte : la leçon 2 est verrouillée. Il fait la leçon 1, rate le quiz (aucune correction affichée), le refait et le réussit : la leçon 2 s’ouvre.</w:t>
      </w:r>
    </w:p>
    <w:p>
      <w:pPr>
        <w:pStyle w:val="ListParagraph"/>
        <w:numPr>
          <w:ilvl w:val="0"/>
          <w:numId w:val="5"/>
        </w:numPr>
        <w:spacing w:after="70" w:line="276"/>
      </w:pPr>
      <w:r>
        <w:t xml:space="preserve">Le stagiaire résout un défi dans le Terrain SQL.</w:t>
      </w:r>
    </w:p>
    <w:p>
      <w:pPr>
        <w:pStyle w:val="ListParagraph"/>
        <w:numPr>
          <w:ilvl w:val="0"/>
          <w:numId w:val="5"/>
        </w:numPr>
        <w:spacing w:after="70" w:line="276"/>
      </w:pPr>
      <w:r>
        <w:t xml:space="preserve">Retour côté formateur : la matrice de suivi montre la progression, les échecs et les frais ; export vers Excel.</w:t>
      </w:r>
    </w:p>
    <w:p>
      <w:pPr>
        <w:pStyle w:val="ListParagraph"/>
        <w:numPr>
          <w:ilvl w:val="0"/>
          <w:numId w:val="5"/>
        </w:numPr>
        <w:spacing w:after="70" w:line="276"/>
      </w:pPr>
      <w:r>
        <w:t xml:space="preserve">Un visiteur crée un compte et s’abonne à un cours : la demande apparaît chez le formateur, en attente de validation.</w:t>
      </w:r>
    </w:p>
    <w:p>
      <w:pPr>
        <w:spacing w:after="110" w:line="288"/>
      </w:pPr>
      <w:r>
        <w:rPr>
          <w:color w:val="5D6B78"/>
          <w:sz w:val="19"/>
          <w:szCs w:val="19"/>
        </w:rPr>
        <w:t xml:space="preserve">Comptes de démonstration : formateur@inpp.cd et stagiaire01@inpp.cd à stagiaire10@inpp.cd. Ces comptes et leurs mots de passe sont à supprimer avant toute mise en service réelle.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D6B78"/>
        <w:sz w:val="17"/>
        <w:szCs w:val="17"/>
      </w:rPr>
      <w:t xml:space="preserve">INPP Académie · Dossier de présentation du projet</w:t>
    </w:r>
    <w:r>
      <w:rPr>
        <w:color w:val="5D6B78"/>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Georgia" w:cs="Georgia" w:eastAsia="Georgia" w:hAnsi="Georgia"/>
      <w:b/>
      <w:bCs/>
      <w:color w:val="12314F"/>
      <w:sz w:val="30"/>
      <w:szCs w:val="30"/>
    </w:rPr>
  </w:style>
  <w:style w:type="paragraph" w:styleId="Heading2">
    <w:name w:val="Heading 2"/>
    <w:basedOn w:val="Normal"/>
    <w:next w:val="Normal"/>
    <w:qFormat/>
    <w:pPr>
      <w:keepNext/>
      <w:spacing w:after="80" w:before="200"/>
      <w:outlineLvl w:val="1"/>
    </w:pPr>
    <w:rPr>
      <w:rFonts w:ascii="Georgia" w:cs="Georgia" w:eastAsia="Georgia" w:hAnsi="Georgia"/>
      <w:b/>
      <w:bCs/>
      <w:color w:val="1231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présentation du projet INPP Académie</dc:title>
  <dc:creator>INPP Académie</dc:creator>
  <cp:lastModifiedBy>Un-named</cp:lastModifiedBy>
  <cp:revision>1</cp:revision>
  <dcterms:created xsi:type="dcterms:W3CDTF">2026-09-24T06:54:26.104Z</dcterms:created>
  <dcterms:modified xsi:type="dcterms:W3CDTF">2026-09-24T06:54:26.112Z</dcterms:modified>
</cp:coreProperties>
</file>

<file path=docProps/custom.xml><?xml version="1.0" encoding="utf-8"?>
<Properties xmlns="http://schemas.openxmlformats.org/officeDocument/2006/custom-properties" xmlns:vt="http://schemas.openxmlformats.org/officeDocument/2006/docPropsVTypes"/>
</file>