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jpg" ContentType="image/jpeg"/>
  <Override PartName="/word/media/rId72.png" ContentType="image/png"/>
  <Override PartName="/word/media/rId76.jpg" ContentType="image/jpeg"/>
  <Override PartName="/word/media/rId79.png" ContentType="image/png"/>
  <Override PartName="/word/media/rId82.png" ContentType="image/png"/>
  <Override PartName="/word/media/rId86.png" ContentType="image/png"/>
  <Override PartName="/word/media/rId164.png" ContentType="image/png"/>
  <Override PartName="/word/media/rId161.png" ContentType="image/png"/>
  <Override PartName="/word/media/rId170.png" ContentType="image/png"/>
  <Override PartName="/word/media/rId125.png" ContentType="image/png"/>
  <Override PartName="/word/media/rId122.png" ContentType="image/png"/>
  <Override PartName="/word/media/rId119.png" ContentType="image/png"/>
  <Override PartName="/word/media/rId116.png" ContentType="image/png"/>
  <Override PartName="/word/media/rId141.png" ContentType="image/png"/>
  <Override PartName="/word/media/rId144.png" ContentType="image/png"/>
  <Override PartName="/word/media/rId147.png" ContentType="image/png"/>
  <Override PartName="/word/media/rId150.png" ContentType="image/png"/>
  <Override PartName="/word/media/rId56.png" ContentType="image/png"/>
  <Override PartName="/word/media/rId59.png" ContentType="image/png"/>
  <Override PartName="/word/media/rId62.png" ContentType="image/png"/>
  <Override PartName="/word/media/rId65.png" ContentType="image/png"/>
  <Override PartName="/word/media/rId113.png" ContentType="image/png"/>
  <Override PartName="/word/media/rId138.png" ContentType="image/png"/>
  <Override PartName="/word/media/rId134.png" ContentType="image/png"/>
  <Override PartName="/word/media/rId131.png" ContentType="image/png"/>
  <Override PartName="/word/media/rId128.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950"/>
        <w:gridCol w:w="2376"/>
        <w:gridCol w:w="2613"/>
        <w:gridCol w:w="1980"/>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031–032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93"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92" w:name="configuración-del-entorno-paso-a-paso"/>
    <w:p>
      <w:pPr>
        <w:pStyle w:val="Heading2"/>
      </w:pPr>
      <w:r>
        <w:t xml:space="preserve">8. Configuración del entorno (paso a paso)</w:t>
      </w:r>
    </w:p>
    <w:bookmarkStart w:id="68"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fue reportado a la docente el 19 de septiembre de 2026 (</w:t>
      </w:r>
      <w:r>
        <w:rPr>
          <w:rStyle w:val="VerbatimChar"/>
        </w:rPr>
        <w:t xml:space="preserve">reporte-docente-devcontainer.md</w:t>
      </w:r>
      <w:r>
        <w:t xml:space="preserve">). Según lo comunicado por el estudiante, la docente indicó que no había experimentado el error, el cual podría obedecer a diferencias en el tipo de cuenta de GitHub, consideró correcto el reporte y aprobó la modificación propuesta al</w:t>
      </w:r>
      <w:r>
        <w:t xml:space="preserve"> </w:t>
      </w:r>
      <w:r>
        <w:rPr>
          <w:rStyle w:val="VerbatimChar"/>
        </w:rPr>
        <w:t xml:space="preserve">devcontainer.json</w:t>
      </w:r>
      <w:r>
        <w:t xml:space="preserve">. La respuesta fue verbal y no se adjunta constancia escrita; la hipótesis sobre el tipo de cuenta no ha sido verificada.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lo que indica que Docker está disponible; falta solo la captura de</w:t>
      </w:r>
      <w:r>
        <w:t xml:space="preserve"> </w:t>
      </w:r>
      <w:r>
        <w:rPr>
          <w:rStyle w:val="VerbatimChar"/>
        </w:rPr>
        <w:t xml:space="preserve">docker --version</w:t>
      </w:r>
      <w:r>
        <w:t xml:space="preserve">. El pipeline de GitHub Actions no depende de esto.</w:t>
      </w:r>
    </w:p>
    <w:p>
      <w:pPr>
        <w:pStyle w:val="FirstParagraph"/>
      </w:pPr>
      <w:r>
        <w:rPr>
          <w:bCs/>
          <w:b/>
        </w:rPr>
        <w:t xml:space="preserve">Evidencia:</w:t>
      </w:r>
      <w:r>
        <w:t xml:space="preserve"> </w:t>
      </w:r>
      <w:r>
        <w:t xml:space="preserve">EV-C204-043 a EV-C204-046 (EV-C204-001 = 046).</w:t>
      </w:r>
    </w:p>
    <w:bookmarkEnd w:id="68"/>
    <w:bookmarkStart w:id="75"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0" name="Picture"/>
            <a:graphic>
              <a:graphicData uri="http://schemas.openxmlformats.org/drawingml/2006/picture">
                <pic:pic>
                  <pic:nvPicPr>
                    <pic:cNvPr descr="evidencias/capturas/EV-C204-002-salud.jpeg" id="71" name="Picture"/>
                    <pic:cNvPicPr>
                      <a:picLocks noChangeArrowheads="1" noChangeAspect="1"/>
                    </pic:cNvPicPr>
                  </pic:nvPicPr>
                  <pic:blipFill>
                    <a:blip r:embed="rId69"/>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3" name="Picture"/>
            <a:graphic>
              <a:graphicData uri="http://schemas.openxmlformats.org/drawingml/2006/picture">
                <pic:pic>
                  <pic:nvPicPr>
                    <pic:cNvPr descr="evidencias/capturas/EV-C204-002b-resumen-chatgpt.png" id="74" name="Picture"/>
                    <pic:cNvPicPr>
                      <a:picLocks noChangeArrowheads="1" noChangeAspect="1"/>
                    </pic:cNvPicPr>
                  </pic:nvPicPr>
                  <pic:blipFill>
                    <a:blip r:embed="rId72"/>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5"/>
    <w:bookmarkStart w:id="85"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77" name="Picture"/>
            <a:graphic>
              <a:graphicData uri="http://schemas.openxmlformats.org/drawingml/2006/picture">
                <pic:pic>
                  <pic:nvPicPr>
                    <pic:cNvPr descr="evidencias/capturas/EV-C204-003-realm.jpeg" id="78" name="Picture"/>
                    <pic:cNvPicPr>
                      <a:picLocks noChangeArrowheads="1" noChangeAspect="1"/>
                    </pic:cNvPicPr>
                  </pic:nvPicPr>
                  <pic:blipFill>
                    <a:blip r:embed="rId76"/>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0" name="Picture"/>
            <a:graphic>
              <a:graphicData uri="http://schemas.openxmlformats.org/drawingml/2006/picture">
                <pic:pic>
                  <pic:nvPicPr>
                    <pic:cNvPr descr="evidencias/capturas/EV-C204-004-cliente.pn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3" name="Picture"/>
            <a:graphic>
              <a:graphicData uri="http://schemas.openxmlformats.org/drawingml/2006/picture">
                <pic:pic>
                  <pic:nvPicPr>
                    <pic:cNvPr descr="evidencias/capturas/EV-C204-005-usuario.png" id="84" name="Picture"/>
                    <pic:cNvPicPr>
                      <a:picLocks noChangeArrowheads="1" noChangeAspect="1"/>
                    </pic:cNvPicPr>
                  </pic:nvPicPr>
                  <pic:blipFill>
                    <a:blip r:embed="rId82"/>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Observación:</w:t>
      </w:r>
      <w:r>
        <w:t xml:space="preserve"> </w:t>
      </w:r>
      <w:r>
        <w:t xml:space="preserve">el usuario tiene pendiente la acción «Update Password», lo que impide que</w:t>
      </w:r>
      <w:r>
        <w:t xml:space="preserve"> </w:t>
      </w:r>
      <w:r>
        <w:rPr>
          <w:rStyle w:val="VerbatimChar"/>
        </w:rPr>
        <w:t xml:space="preserve">demo</w:t>
      </w:r>
      <w:r>
        <w:t xml:space="preserve"> </w:t>
      </w:r>
      <w:r>
        <w:t xml:space="preserve">obtenga un token por contraseña directa hasta que se quite. Ver la nota de la Tabla 6 (P-28).</w:t>
      </w:r>
    </w:p>
    <w:bookmarkEnd w:id="85"/>
    <w:bookmarkStart w:id="89"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CaptionedFigure"/>
      </w:pPr>
      <w:r>
        <w:drawing>
          <wp:inline>
            <wp:extent cx="5067300" cy="2164782"/>
            <wp:effectExtent b="0" l="0" r="0" t="0"/>
            <wp:docPr descr="EV-C204-006 — App móvil (Expo web) en el Codespace: URL del servicio, texto «Hola CIB-204», cifrado en base64 y descifrado correcto" title="" id="87" name="Picture"/>
            <a:graphic>
              <a:graphicData uri="http://schemas.openxmlformats.org/drawingml/2006/picture">
                <pic:pic>
                  <pic:nvPicPr>
                    <pic:cNvPr descr="evidencias/capturas/EV-C204-006-app.png" id="88" name="Picture"/>
                    <pic:cNvPicPr>
                      <a:picLocks noChangeArrowheads="1" noChangeAspect="1"/>
                    </pic:cNvPicPr>
                  </pic:nvPicPr>
                  <pic:blipFill>
                    <a:blip r:embed="rId86"/>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89"/>
    <w:bookmarkStart w:id="90"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90"/>
    <w:bookmarkStart w:id="91"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1"/>
    <w:bookmarkEnd w:id="92"/>
    <w:bookmarkEnd w:id="93"/>
    <w:bookmarkStart w:id="111"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97" w:name="Xb44003f4d804ca91c6a4233e131d0388fe1eb79"/>
    <w:p>
      <w:pPr>
        <w:pStyle w:val="Heading2"/>
      </w:pPr>
      <w:r>
        <w:t xml:space="preserve">9. Módulo de encriptación/desencriptación (RSA)</w:t>
      </w:r>
    </w:p>
    <w:bookmarkStart w:id="94"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4"/>
    <w:bookmarkStart w:id="95"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5"/>
    <w:bookmarkStart w:id="96"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6"/>
    <w:bookmarkEnd w:id="97"/>
    <w:bookmarkStart w:id="101" w:name="funciones-de-utilidad"/>
    <w:p>
      <w:pPr>
        <w:pStyle w:val="Heading2"/>
      </w:pPr>
      <w:r>
        <w:t xml:space="preserve">10. Funciones de utilidad</w:t>
      </w:r>
    </w:p>
    <w:bookmarkStart w:id="98"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98"/>
    <w:bookmarkStart w:id="99"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99"/>
    <w:bookmarkStart w:id="100"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0"/>
    <w:bookmarkEnd w:id="101"/>
    <w:bookmarkStart w:id="105" w:name="autenticación-con-keycloak-jwt"/>
    <w:p>
      <w:pPr>
        <w:pStyle w:val="Heading2"/>
      </w:pPr>
      <w:r>
        <w:t xml:space="preserve">11. Autenticación con Keycloak (JWT)</w:t>
      </w:r>
    </w:p>
    <w:bookmarkStart w:id="102"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2"/>
    <w:bookmarkStart w:id="103"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3"/>
    <w:bookmarkStart w:id="104"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4"/>
    <w:bookmarkEnd w:id="105"/>
    <w:bookmarkStart w:id="110" w:name="pipeline-devsecops-las-6-pruebas"/>
    <w:p>
      <w:pPr>
        <w:pStyle w:val="Heading2"/>
      </w:pPr>
      <w:r>
        <w:t xml:space="preserve">12. Pipeline DevSecOps (las 6 pruebas)</w:t>
      </w:r>
    </w:p>
    <w:bookmarkStart w:id="106"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106"/>
    <w:bookmarkStart w:id="107"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07"/>
    <w:bookmarkStart w:id="108"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08"/>
    <w:bookmarkStart w:id="109"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09"/>
    <w:bookmarkEnd w:id="110"/>
    <w:bookmarkEnd w:id="111"/>
    <w:bookmarkStart w:id="174" w:name="parte-iii-diagnóstico-y-remediación"/>
    <w:p>
      <w:pPr>
        <w:pStyle w:val="Heading1"/>
      </w:pPr>
      <w:r>
        <w:t xml:space="preserve">PARTE III — DIAGNÓSTICO Y REMEDIACIÓN</w:t>
      </w:r>
    </w:p>
    <w:bookmarkStart w:id="156" w:name="fase-1-diagnóstico-pipeline-en-rojo"/>
    <w:p>
      <w:pPr>
        <w:pStyle w:val="Heading2"/>
      </w:pPr>
      <w:r>
        <w:t xml:space="preserve">13. Fase 1 — Diagnóstico (pipeline en rojo)</w:t>
      </w:r>
    </w:p>
    <w:bookmarkStart w:id="112"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112"/>
    <w:bookmarkStart w:id="137"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114" name="Picture"/>
            <a:graphic>
              <a:graphicData uri="http://schemas.openxmlformats.org/drawingml/2006/picture">
                <pic:pic>
                  <pic:nvPicPr>
                    <pic:cNvPr descr="evidencias/capturas/consola-git/EV-C204-047-screenshot-image5.png" id="115" name="Picture"/>
                    <pic:cNvPicPr>
                      <a:picLocks noChangeArrowheads="1" noChangeAspect="1"/>
                    </pic:cNvPicPr>
                  </pic:nvPicPr>
                  <pic:blipFill>
                    <a:blip r:embed="rId113"/>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17" name="Picture"/>
            <a:graphic>
              <a:graphicData uri="http://schemas.openxmlformats.org/drawingml/2006/picture">
                <pic:pic>
                  <pic:nvPicPr>
                    <pic:cNvPr descr="evidencias/capturas/consola-git/EV-C204-036-screenshot-image13.png" id="118" name="Picture"/>
                    <pic:cNvPicPr>
                      <a:picLocks noChangeArrowheads="1" noChangeAspect="1"/>
                    </pic:cNvPicPr>
                  </pic:nvPicPr>
                  <pic:blipFill>
                    <a:blip r:embed="rId11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0" name="Picture"/>
            <a:graphic>
              <a:graphicData uri="http://schemas.openxmlformats.org/drawingml/2006/picture">
                <pic:pic>
                  <pic:nvPicPr>
                    <pic:cNvPr descr="evidencias/capturas/consola-git/EV-C204-035-screenshot-image12.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3" name="Picture"/>
            <a:graphic>
              <a:graphicData uri="http://schemas.openxmlformats.org/drawingml/2006/picture">
                <pic:pic>
                  <pic:nvPicPr>
                    <pic:cNvPr descr="evidencias/capturas/consola-git/EV-C204-034-screenshot-image11.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6" name="Picture"/>
            <a:graphic>
              <a:graphicData uri="http://schemas.openxmlformats.org/drawingml/2006/picture">
                <pic:pic>
                  <pic:nvPicPr>
                    <pic:cNvPr descr="evidencias/capturas/consola-git/EV-C204-033-screenshot-image10.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29" name="Picture"/>
            <a:graphic>
              <a:graphicData uri="http://schemas.openxmlformats.org/drawingml/2006/picture">
                <pic:pic>
                  <pic:nvPicPr>
                    <pic:cNvPr descr="evidencias/capturas/consola-git/EV-C204-051-screenshot-image9.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2" name="Picture"/>
            <a:graphic>
              <a:graphicData uri="http://schemas.openxmlformats.org/drawingml/2006/picture">
                <pic:pic>
                  <pic:nvPicPr>
                    <pic:cNvPr descr="evidencias/capturas/consola-git/EV-C204-050-screenshot-image8.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5" name="Picture"/>
            <a:graphic>
              <a:graphicData uri="http://schemas.openxmlformats.org/drawingml/2006/picture">
                <pic:pic>
                  <pic:nvPicPr>
                    <pic:cNvPr descr="evidencias/capturas/consola-git/EV-C204-049-screenshot-image7.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37"/>
    <w:bookmarkStart w:id="153"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39" name="Picture"/>
            <a:graphic>
              <a:graphicData uri="http://schemas.openxmlformats.org/drawingml/2006/picture">
                <pic:pic>
                  <pic:nvPicPr>
                    <pic:cNvPr descr="evidencias/capturas/consola-git/EV-C204-048-screenshot-image6.png" id="140" name="Picture"/>
                    <pic:cNvPicPr>
                      <a:picLocks noChangeArrowheads="1" noChangeAspect="1"/>
                    </pic:cNvPicPr>
                  </pic:nvPicPr>
                  <pic:blipFill>
                    <a:blip r:embed="rId138"/>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42" name="Picture"/>
            <a:graphic>
              <a:graphicData uri="http://schemas.openxmlformats.org/drawingml/2006/picture">
                <pic:pic>
                  <pic:nvPicPr>
                    <pic:cNvPr descr="evidencias/capturas/consola-git/EV-C204-038-screenshot-image15.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5" name="Picture"/>
            <a:graphic>
              <a:graphicData uri="http://schemas.openxmlformats.org/drawingml/2006/picture">
                <pic:pic>
                  <pic:nvPicPr>
                    <pic:cNvPr descr="evidencias/capturas/consola-git/EV-C204-040-screenshot-image17.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48" name="Picture"/>
            <a:graphic>
              <a:graphicData uri="http://schemas.openxmlformats.org/drawingml/2006/picture">
                <pic:pic>
                  <pic:nvPicPr>
                    <pic:cNvPr descr="evidencias/capturas/consola-git/EV-C204-041-screenshot-image18.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1" name="Picture"/>
            <a:graphic>
              <a:graphicData uri="http://schemas.openxmlformats.org/drawingml/2006/picture">
                <pic:pic>
                  <pic:nvPicPr>
                    <pic:cNvPr descr="evidencias/capturas/consola-git/EV-C204-042-screenshot-image19.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3"/>
    <w:bookmarkStart w:id="155"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4">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55"/>
    <w:bookmarkEnd w:id="156"/>
    <w:bookmarkStart w:id="169" w:name="fase-2-remediación-de-rojo-a-verde"/>
    <w:p>
      <w:pPr>
        <w:pStyle w:val="Heading2"/>
      </w:pPr>
      <w:r>
        <w:t xml:space="preserve">14. Fase 2 — Remediación (de rojo a verde)</w:t>
      </w:r>
    </w:p>
    <w:bookmarkStart w:id="159"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57">
        <w:r>
          <w:rPr>
            <w:rStyle w:val="VerbatimChar"/>
          </w:rPr>
          <w:t xml:space="preserve">docs/tablas/tabla-4-evidencias.md</w:t>
        </w:r>
      </w:hyperlink>
      <w:r>
        <w:t xml:space="preserve">. El playbook de patrones de corrección está en</w:t>
      </w:r>
      <w:r>
        <w:t xml:space="preserve"> </w:t>
      </w:r>
      <w:hyperlink r:id="rId158">
        <w:r>
          <w:rPr>
            <w:rStyle w:val="VerbatimChar"/>
          </w:rPr>
          <w:t xml:space="preserve">docs/remediacion-playbook.md</w:t>
        </w:r>
      </w:hyperlink>
      <w:r>
        <w:t xml:space="preserve">.</w:t>
      </w:r>
    </w:p>
    <w:bookmarkEnd w:id="159"/>
    <w:bookmarkStart w:id="160"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60"/>
    <w:bookmarkStart w:id="167"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tefactos con su huella SHA-256" title="" id="162" name="Picture"/>
            <a:graphic>
              <a:graphicData uri="http://schemas.openxmlformats.org/drawingml/2006/picture">
                <pic:pic>
                  <pic:nvPicPr>
                    <pic:cNvPr descr="evidencias/capturas/EV-C204-013-pipeline-verde.png" id="163" name="Picture"/>
                    <pic:cNvPicPr>
                      <a:picLocks noChangeArrowheads="1" noChangeAspect="1"/>
                    </pic:cNvPicPr>
                  </pic:nvPicPr>
                  <pic:blipFill>
                    <a:blip r:embed="rId161"/>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artefactos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5" name="Picture"/>
            <a:graphic>
              <a:graphicData uri="http://schemas.openxmlformats.org/drawingml/2006/picture">
                <pic:pic>
                  <pic:nvPicPr>
                    <pic:cNvPr descr="evidencias/capturas/EV-C204-012-codeql-alertas.png" id="166" name="Picture"/>
                    <pic:cNvPicPr>
                      <a:picLocks noChangeArrowheads="1" noChangeAspect="1"/>
                    </pic:cNvPicPr>
                  </pic:nvPicPr>
                  <pic:blipFill>
                    <a:blip r:embed="rId164"/>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67"/>
    <w:bookmarkStart w:id="168"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68"/>
    <w:bookmarkEnd w:id="169"/>
    <w:bookmarkStart w:id="173"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1" name="Picture"/>
            <a:graphic>
              <a:graphicData uri="http://schemas.openxmlformats.org/drawingml/2006/picture">
                <pic:pic>
                  <pic:nvPicPr>
                    <pic:cNvPr descr="evidencias/capturas/EV-C204-014-proteccion.png" id="172" name="Picture"/>
                    <pic:cNvPicPr>
                      <a:picLocks noChangeArrowheads="1" noChangeAspect="1"/>
                    </pic:cNvPicPr>
                  </pic:nvPicPr>
                  <pic:blipFill>
                    <a:blip r:embed="rId170"/>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3"/>
    <w:bookmarkEnd w:id="174"/>
    <w:bookmarkStart w:id="181" w:name="parte-iv-pruebas-y-riesgos"/>
    <w:p>
      <w:pPr>
        <w:pStyle w:val="Heading1"/>
      </w:pPr>
      <w:r>
        <w:t xml:space="preserve">PARTE IV — PRUEBAS Y RIESGOS</w:t>
      </w:r>
    </w:p>
    <w:bookmarkStart w:id="176"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5">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6"/>
    <w:bookmarkStart w:id="178"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77">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78"/>
    <w:bookmarkStart w:id="180" w:name="plantilla-de-diagnóstico-del-curso"/>
    <w:p>
      <w:pPr>
        <w:pStyle w:val="Heading2"/>
      </w:pPr>
      <w:r>
        <w:t xml:space="preserve">18. Plantilla de diagnóstico del curso</w:t>
      </w:r>
    </w:p>
    <w:p>
      <w:pPr>
        <w:pStyle w:val="BlockText"/>
      </w:pPr>
      <w:r>
        <w:t xml:space="preserve">Ver</w:t>
      </w:r>
      <w:r>
        <w:t xml:space="preserve"> </w:t>
      </w:r>
      <w:hyperlink r:id="rId179">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0"/>
    <w:bookmarkEnd w:id="181"/>
    <w:bookmarkStart w:id="239" w:name="parte-v-cierre-académico"/>
    <w:p>
      <w:pPr>
        <w:pStyle w:val="Heading1"/>
      </w:pPr>
      <w:r>
        <w:t xml:space="preserve">PARTE V — CIERRE ACADÉMICO</w:t>
      </w:r>
    </w:p>
    <w:bookmarkStart w:id="182"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2"/>
    <w:bookmarkStart w:id="183"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solo falta la captura de</w:t>
      </w:r>
      <w:r>
        <w:t xml:space="preserve"> </w:t>
      </w:r>
      <w:r>
        <w:rPr>
          <w:rStyle w:val="VerbatimChar"/>
        </w:rPr>
        <w:t xml:space="preserve">docker --version</w:t>
      </w:r>
      <w:r>
        <w:t xml:space="preserve">; las llaves RSA se generan en memoria y se pierden al reiniciar (adecuado para un laboratorio, no para producción).</w:t>
      </w:r>
    </w:p>
    <w:bookmarkEnd w:id="183"/>
    <w:bookmarkStart w:id="184"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84"/>
    <w:bookmarkStart w:id="185"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5"/>
    <w:bookmarkStart w:id="186"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6"/>
    <w:bookmarkStart w:id="187"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87"/>
    <w:bookmarkStart w:id="225" w:name="anexo-a-tablas-16-completas"/>
    <w:p>
      <w:pPr>
        <w:pStyle w:val="Heading2"/>
      </w:pPr>
      <w:r>
        <w:t xml:space="preserve">Anexo A — Tablas 1–6 completas</w:t>
      </w:r>
    </w:p>
    <w:bookmarkStart w:id="193"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88"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88"/>
    <w:bookmarkStart w:id="189"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89"/>
    <w:bookmarkStart w:id="190"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0"/>
    <w:bookmarkStart w:id="191"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1"/>
    <w:bookmarkStart w:id="192"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2"/>
    <w:bookmarkEnd w:id="193"/>
    <w:bookmarkStart w:id="199"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94"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4"/>
    <w:bookmarkStart w:id="195"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5"/>
    <w:bookmarkStart w:id="196"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6"/>
    <w:bookmarkStart w:id="197"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97"/>
    <w:bookmarkStart w:id="198"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98"/>
    <w:bookmarkEnd w:id="199"/>
    <w:bookmarkStart w:id="205"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200"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0"/>
    <w:bookmarkStart w:id="201"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201"/>
    <w:bookmarkStart w:id="202"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2"/>
    <w:bookmarkStart w:id="203"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3"/>
    <w:bookmarkStart w:id="204"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4"/>
    <w:bookmarkEnd w:id="205"/>
    <w:bookmarkStart w:id="208"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6"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6"/>
    <w:bookmarkStart w:id="207"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207"/>
    <w:bookmarkEnd w:id="208"/>
    <w:bookmarkStart w:id="217"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209"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09"/>
    <w:bookmarkStart w:id="210"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0"/>
    <w:bookmarkStart w:id="213" w:name="análisis-gerencial-complementario"/>
    <w:p>
      <w:pPr>
        <w:pStyle w:val="Heading4"/>
      </w:pPr>
      <w:r>
        <w:t xml:space="preserve">Análisis gerencial complementario</w:t>
      </w:r>
    </w:p>
    <w:bookmarkStart w:id="211"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1"/>
    <w:bookmarkStart w:id="212"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2"/>
    <w:bookmarkEnd w:id="213"/>
    <w:bookmarkStart w:id="214"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4"/>
    <w:bookmarkStart w:id="215"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5"/>
    <w:bookmarkStart w:id="216" w:name="nota-de-trazabilidad-2"/>
    <w:p>
      <w:pPr>
        <w:pStyle w:val="Heading4"/>
      </w:pPr>
      <w:r>
        <w:t xml:space="preserve">Nota de trazabilidad</w:t>
      </w:r>
    </w:p>
    <w:p>
      <w:pPr>
        <w:pStyle w:val="FirstParagraph"/>
      </w:pPr>
      <w:r>
        <w:t xml:space="preserve">Esta tabla alimenta: informe §16, la plantilla de diagnóstico y la Tabla 4.</w:t>
      </w:r>
    </w:p>
    <w:bookmarkEnd w:id="216"/>
    <w:bookmarkEnd w:id="217"/>
    <w:bookmarkStart w:id="224"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la captura de</w:t>
      </w:r>
      <w:r>
        <w:t xml:space="preserve"> </w:t>
      </w:r>
      <w:r>
        <w:rPr>
          <w:rStyle w:val="VerbatimChar"/>
        </w:rPr>
        <w:t xml:space="preserve">docker --version</w:t>
      </w:r>
      <w:r>
        <w:t xml:space="preserve"> </w:t>
      </w:r>
      <w:r>
        <w:t xml:space="preserve">(opcional).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18"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18"/>
    <w:bookmarkStart w:id="219"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19"/>
    <w:bookmarkStart w:id="220"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0"/>
    <w:bookmarkStart w:id="221"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1"/>
    <w:bookmarkStart w:id="222"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2"/>
    <w:bookmarkStart w:id="223"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3"/>
    <w:bookmarkEnd w:id="224"/>
    <w:bookmarkEnd w:id="225"/>
    <w:bookmarkStart w:id="226" w:name="nota-de-trazabilidad-3"/>
    <w:p>
      <w:pPr>
        <w:pStyle w:val="Heading2"/>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6"/>
    <w:bookmarkStart w:id="227"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27"/>
    <w:bookmarkStart w:id="228"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28"/>
    <w:bookmarkStart w:id="229"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29"/>
    <w:bookmarkStart w:id="230"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30"/>
    <w:bookmarkStart w:id="234" w:name="X97195745177c874f01ad80e4dce35521f49f2f2"/>
    <w:p>
      <w:pPr>
        <w:pStyle w:val="Heading2"/>
      </w:pPr>
      <w:r>
        <w:t xml:space="preserve">Anexo F — Guía de lectura (evidencias, siglas y archivos)</w:t>
      </w:r>
    </w:p>
    <w:bookmarkStart w:id="231"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1"/>
    <w:bookmarkStart w:id="232"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2"/>
    <w:bookmarkStart w:id="233"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(remitido; modificación aprobada)</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3"/>
    <w:bookmarkEnd w:id="234"/>
    <w:bookmarkStart w:id="235"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5"/>
    <w:bookmarkStart w:id="236"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Las decisiones de seguridad, la validación en el Codespace, las capturas de la app móvil y de la consola de Keycloak, la protección de la rama y la entrega a la docente son responsabilidad de los integrantes del equipo.</w:t>
      </w:r>
      <w:r>
        <w:t xml:space="preserve"> </w:t>
      </w:r>
      <w:r>
        <w:t xml:space="preserve">El código fuente base es el material oficial del curso.</w:t>
      </w:r>
    </w:p>
    <w:p>
      <w:r>
        <w:pict>
          <v:rect style="width:0;height:1.5pt" o:hralign="center" o:hrstd="t" o:hr="t"/>
        </w:pict>
      </w:r>
    </w:p>
    <w:bookmarkEnd w:id="236"/>
    <w:bookmarkStart w:id="237"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37"/>
    <w:bookmarkStart w:id="238"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38"/>
    <w:bookmarkEnd w:id="2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jpg" /><Relationship Type="http://schemas.openxmlformats.org/officeDocument/2006/relationships/image" Id="rId72" Target="media/rId72.png" /><Relationship Type="http://schemas.openxmlformats.org/officeDocument/2006/relationships/image" Id="rId76" Target="media/rId76.jp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70" Target="media/rId170.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3" Target="media/rId113.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79" Target="plantilla-diagnostico.md" TargetMode="External" /><Relationship Type="http://schemas.openxmlformats.org/officeDocument/2006/relationships/hyperlink" Id="rId158"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4" Target="tablas/tabla-3-diagnostico.md" TargetMode="External" /><Relationship Type="http://schemas.openxmlformats.org/officeDocument/2006/relationships/hyperlink" Id="rId157" Target="tablas/tabla-4-evidencias.md" TargetMode="External" /><Relationship Type="http://schemas.openxmlformats.org/officeDocument/2006/relationships/hyperlink" Id="rId175" Target="tablas/tabla-5-riesgo.md" TargetMode="External" /><Relationship Type="http://schemas.openxmlformats.org/officeDocument/2006/relationships/hyperlink" Id="rId177"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79" Target="plantilla-diagnostico.md" TargetMode="External" /><Relationship Type="http://schemas.openxmlformats.org/officeDocument/2006/relationships/hyperlink" Id="rId158"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4" Target="tablas/tabla-3-diagnostico.md" TargetMode="External" /><Relationship Type="http://schemas.openxmlformats.org/officeDocument/2006/relationships/hyperlink" Id="rId157" Target="tablas/tabla-4-evidencias.md" TargetMode="External" /><Relationship Type="http://schemas.openxmlformats.org/officeDocument/2006/relationships/hyperlink" Id="rId175" Target="tablas/tabla-5-riesgo.md" TargetMode="External" /><Relationship Type="http://schemas.openxmlformats.org/officeDocument/2006/relationships/hyperlink" Id="rId177"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2026-09-19T18:48:05Z</dcterms:created>
  <dcterms:modified xsi:type="dcterms:W3CDTF">2026-09-19T18:48:05Z</dcterms:modified>
</cp:coreProperties>
</file>

<file path=docProps/custom.xml><?xml version="1.0" encoding="utf-8"?>
<Properties xmlns="http://schemas.openxmlformats.org/officeDocument/2006/custom-properties" xmlns:vt="http://schemas.openxmlformats.org/officeDocument/2006/docPropsVTypes"/>
</file>