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ceaba9380d64b1f028a508d88d8725b89746fd4"/>
    <w:p>
      <w:pPr>
        <w:pStyle w:val="Heading1"/>
      </w:pPr>
      <w:r>
        <w:t xml:space="preserve">PROYECTO DE SEGURIDAD EN APLICACIONES MÓVILES — PIPELINE DevSecOps</w:t>
      </w:r>
    </w:p>
    <w:bookmarkStart w:id="20" w:name="X63093b10662e0bf0539266acdb825c4aeb4c4e0"/>
    <w:p>
      <w:pPr>
        <w:pStyle w:val="Heading2"/>
      </w:pPr>
      <w:r>
        <w:t xml:space="preserve">Informe integrado: primer avance, segundo avance e informe final</w:t>
      </w:r>
    </w:p>
    <w:p>
      <w:pPr>
        <w:pStyle w:val="FirstParagraph"/>
      </w:pPr>
      <w:r>
        <w:rPr>
          <w:bCs/>
          <w:b/>
        </w:rPr>
        <w:t xml:space="preserve">Curso:</w:t>
      </w:r>
      <w:r>
        <w:t xml:space="preserve"> </w:t>
      </w:r>
      <w:r>
        <w:t xml:space="preserve">CIB-204 · Seguridad del Software · Maestría en Ciberseguridad</w:t>
      </w:r>
      <w:r>
        <w:t xml:space="preserve"> </w:t>
      </w:r>
      <w:r>
        <w:rPr>
          <w:bCs/>
          <w:b/>
        </w:rPr>
        <w:t xml:space="preserve">Universidad:</w:t>
      </w:r>
      <w:r>
        <w:t xml:space="preserve"> </w:t>
      </w:r>
      <w:r>
        <w:t xml:space="preserve">CENFOTEC · Sede Central</w:t>
      </w:r>
      <w:r>
        <w:t xml:space="preserve"> </w:t>
      </w:r>
      <w:r>
        <w:rPr>
          <w:bCs/>
          <w:b/>
        </w:rPr>
        <w:t xml:space="preserve">Profesora:</w:t>
      </w:r>
      <w:r>
        <w:t xml:space="preserve"> </w:t>
      </w:r>
      <w:r>
        <w:t xml:space="preserve">MsC. Alejandra Corrales Vargas</w:t>
      </w:r>
      <w:r>
        <w:t xml:space="preserve"> </w:t>
      </w:r>
      <w:r>
        <w:rPr>
          <w:bCs/>
          <w:b/>
        </w:rPr>
        <w:t xml:space="preserve">Integrantes:</w:t>
      </w:r>
      <w:r>
        <w:t xml:space="preserve"> </w:t>
      </w:r>
      <w:r>
        <w:t xml:space="preserve">Eduardo J. Vega Arguedas y Keylor Elizondo Rodriguez</w:t>
      </w:r>
      <w:r>
        <w:t xml:space="preserve"> </w:t>
      </w:r>
      <w:r>
        <w:rPr>
          <w:iCs/>
          <w:i/>
        </w:rPr>
        <w:t xml:space="preserve">(confirmar)</w:t>
      </w:r>
      <w:r>
        <w:t xml:space="preserve"> </w:t>
      </w:r>
      <w:r>
        <w:rPr>
          <w:bCs/>
          <w:b/>
        </w:rPr>
        <w:t xml:space="preserve">Repositorio:</w:t>
      </w:r>
      <w:r>
        <w:t xml:space="preserve"> </w:t>
      </w:r>
      <w:r>
        <w:t xml:space="preserve">https://github.com/edovega/proyecto-devsecops-cib204</w:t>
      </w:r>
      <w:r>
        <w:t xml:space="preserve"> </w:t>
      </w:r>
      <w:r>
        <w:rPr>
          <w:bCs/>
          <w:b/>
        </w:rPr>
        <w:t xml:space="preserve">Fecha:</w:t>
      </w:r>
      <w:r>
        <w:t xml:space="preserve"> </w:t>
      </w:r>
      <w:r>
        <w:rPr>
          <w:iCs/>
          <w:i/>
        </w:rPr>
        <w:t xml:space="preserve">(completar)</w:t>
      </w:r>
    </w:p>
    <w:p>
      <w:r>
        <w:pict>
          <v:rect style="width:0;height:1.5pt" o:hralign="center" o:hrstd="t" o:hr="t"/>
        </w:pict>
      </w:r>
    </w:p>
    <w:bookmarkEnd w:id="20"/>
    <w:bookmarkStart w:id="21" w:name="mapa-del-documento"/>
    <w:p>
      <w:pPr>
        <w:pStyle w:val="Heading2"/>
      </w:pPr>
      <w:r>
        <w:t xml:space="preserve">Mapa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 I — Contexto y diseño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 Avance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 II — Implementación y entorno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 Avance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 III — Diagnóstico y remediación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 Avance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 IV — Pruebas y 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 Avance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 V — Cierre académico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Final</w:t>
            </w:r>
          </w:p>
        </w:tc>
      </w:tr>
    </w:tbl>
    <w:bookmarkEnd w:id="21"/>
    <w:bookmarkStart w:id="22" w:name="índice-de-evidencias"/>
    <w:p>
      <w:pPr>
        <w:pStyle w:val="Heading2"/>
      </w:pPr>
      <w:r>
        <w:t xml:space="preserve">Índice de evidencias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Versiones del entorno (node, npm, docker)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docs/evidencias/capturas/EV-C204-001-versiones.txt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</w:t>
            </w:r>
            <w:r>
              <w:t xml:space="preserve"> </w:t>
            </w:r>
            <w:r>
              <w:rPr>
                <w:rStyle w:val="VerbatimChar"/>
              </w:rPr>
              <w:t xml:space="preserve">/salud</w:t>
            </w:r>
            <w:r>
              <w:t xml:space="preserve"> </w:t>
            </w:r>
            <w:r>
              <w:t xml:space="preserve">respondiendo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Keycloak: realm appmovil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Keycloak: cliente servicio-cifrado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Keycloak: usuario 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móvil cifrando/descifrando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Fase 1 (jobs en rojo)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Semgrep (Fase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Gitleaks (Fase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(Fase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ZAP (Fase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CodeQL (Code scanning)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Fase 2 (todo verde)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Rama main protegida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Figura 1. Contexto de la aplicación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docs/evidencias/figuras/figura-1-contexto.svg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Figura 2. Arquitectura y límites de confianza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docs/evidencias/figuras/figura-2-arquitectura.svg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Figura 3. Flujo de cifrado con identidad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docs/evidencias/figuras/figura-3-flujo.svg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51" w:name="parte-i-contexto-y-diseño"/>
    <w:p>
      <w:pPr>
        <w:pStyle w:val="Heading1"/>
      </w:pPr>
      <w:r>
        <w:t xml:space="preserve">PARTE I — CONTEXTO Y DISEÑO</w:t>
      </w:r>
    </w:p>
    <w:bookmarkStart w:id="24" w:name="introducción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El presente proyecto desarrolla un</w:t>
      </w:r>
      <w:r>
        <w:t xml:space="preserve"> </w:t>
      </w:r>
      <w:r>
        <w:rPr>
          <w:bCs/>
          <w:b/>
        </w:rPr>
        <w:t xml:space="preserve">pipeline DevSecOps completo</w:t>
      </w:r>
      <w:r>
        <w:t xml:space="preserve"> </w:t>
      </w:r>
      <w:r>
        <w:t xml:space="preserve">para una aplicación móvil de cifrado de datos. La aplicación móvil actúa como cliente; el cifrado ocurre en un servicio backend desarrollado en</w:t>
      </w:r>
      <w:r>
        <w:t xml:space="preserve"> </w:t>
      </w:r>
      <w:r>
        <w:rPr>
          <w:bCs/>
          <w:b/>
        </w:rPr>
        <w:t xml:space="preserve">Node.js</w:t>
      </w:r>
      <w:r>
        <w:t xml:space="preserve">; la identidad de los usuarios la gestiona</w:t>
      </w:r>
      <w:r>
        <w:t xml:space="preserve"> </w:t>
      </w:r>
      <w:r>
        <w:rPr>
          <w:bCs/>
          <w:b/>
        </w:rPr>
        <w:t xml:space="preserve">Keycloak</w:t>
      </w:r>
      <w:r>
        <w:t xml:space="preserve"> </w:t>
      </w:r>
      <w:r>
        <w:t xml:space="preserve">(IAM); y un pipeline de</w:t>
      </w:r>
      <w:r>
        <w:t xml:space="preserve"> </w:t>
      </w:r>
      <w:r>
        <w:rPr>
          <w:bCs/>
          <w:b/>
        </w:rPr>
        <w:t xml:space="preserve">GitHub Actions</w:t>
      </w:r>
      <w:r>
        <w:t xml:space="preserve"> </w:t>
      </w:r>
      <w:r>
        <w:t xml:space="preserve">ejecuta seis pruebas de seguridad automáticas en cada cambio del código.</w:t>
      </w:r>
    </w:p>
    <w:p>
      <w:pPr>
        <w:pStyle w:val="BodyText"/>
      </w:pPr>
      <w:r>
        <w:t xml:space="preserve">La característica distintiva del laboratorio es que el proyecto</w:t>
      </w:r>
      <w:r>
        <w:t xml:space="preserve"> </w:t>
      </w:r>
      <w:r>
        <w:rPr>
          <w:bCs/>
          <w:b/>
        </w:rPr>
        <w:t xml:space="preserve">arranca inseguro a propósito</w:t>
      </w:r>
      <w:r>
        <w:t xml:space="preserve">: contiene errores de seguridad reales (secretos quemados, dependencias vulnerables, validación deficiente de tokens, CORS abierto, entre otros), marcados en el código con comentarios</w:t>
      </w:r>
      <w:r>
        <w:t xml:space="preserve"> </w:t>
      </w:r>
      <w:r>
        <w:rPr>
          <w:rStyle w:val="VerbatimChar"/>
        </w:rPr>
        <w:t xml:space="preserve">// [VULN-n]</w:t>
      </w:r>
      <w:r>
        <w:t xml:space="preserve">. El pipeline los detecta automáticamente y el trabajo del estudiante consiste en corregirlos uno por uno hasta dejar todas las pruebas en verde.</w:t>
      </w:r>
    </w:p>
    <w:p>
      <w:pPr>
        <w:pStyle w:val="BodyText"/>
      </w:pPr>
      <w:r>
        <w:t xml:space="preserve">La metodología sigue el ciclo</w:t>
      </w:r>
      <w:r>
        <w:t xml:space="preserve"> </w:t>
      </w:r>
      <w:r>
        <w:rPr>
          <w:bCs/>
          <w:b/>
        </w:rPr>
        <w:t xml:space="preserve">DevSecOps</w:t>
      </w:r>
      <w:r>
        <w:t xml:space="preserve">:</w:t>
      </w:r>
      <w:r>
        <w:t xml:space="preserve"> </w:t>
      </w:r>
      <w:r>
        <w:rPr>
          <w:iCs/>
          <w:i/>
        </w:rPr>
        <w:t xml:space="preserve">detectar → corregir → volver a probar</w:t>
      </w:r>
      <w:r>
        <w:t xml:space="preserve">. En la</w:t>
      </w:r>
      <w:r>
        <w:t xml:space="preserve"> </w:t>
      </w:r>
      <w:r>
        <w:rPr>
          <w:bCs/>
          <w:b/>
        </w:rPr>
        <w:t xml:space="preserve">Fase 1 (Diagnóstico)</w:t>
      </w:r>
      <w:r>
        <w:t xml:space="preserve"> </w:t>
      </w:r>
      <w:r>
        <w:t xml:space="preserve">se sube el proyecto tal cual y se documentan todos los hallazgos en rojo; en la</w:t>
      </w:r>
      <w:r>
        <w:t xml:space="preserve"> </w:t>
      </w:r>
      <w:r>
        <w:rPr>
          <w:bCs/>
          <w:b/>
        </w:rPr>
        <w:t xml:space="preserve">Fase 2 (Remediación)</w:t>
      </w:r>
      <w:r>
        <w:t xml:space="preserve"> </w:t>
      </w:r>
      <w:r>
        <w:t xml:space="preserve">se corrige cada error, se sube el cambio y se verifica la transición de rojo a verde. Este ciclo automatizado es el valor central del laboratorio: no basta con encontrar los errores, sino que el proceso garantiza que las correcciones se verifican de forma reproducible.</w:t>
      </w:r>
    </w:p>
    <w:p>
      <w:pPr>
        <w:pStyle w:val="BodyText"/>
      </w:pPr>
      <w:r>
        <w:t xml:space="preserve">El marco de referencia del proyecto combina</w:t>
      </w:r>
      <w:r>
        <w:t xml:space="preserve"> </w:t>
      </w:r>
      <w:r>
        <w:rPr>
          <w:bCs/>
          <w:b/>
        </w:rPr>
        <w:t xml:space="preserve">NIST SSDF</w:t>
      </w:r>
      <w:r>
        <w:t xml:space="preserve"> </w:t>
      </w:r>
      <w:r>
        <w:t xml:space="preserve">(Secure Software Development Framework) para las prácticas del ciclo de vida seguro,</w:t>
      </w:r>
      <w:r>
        <w:t xml:space="preserve"> </w:t>
      </w:r>
      <w:r>
        <w:rPr>
          <w:bCs/>
          <w:b/>
        </w:rPr>
        <w:t xml:space="preserve">OWASP SAMM</w:t>
      </w:r>
      <w:r>
        <w:t xml:space="preserve"> </w:t>
      </w:r>
      <w:r>
        <w:t xml:space="preserve">para la madurez del proceso,</w:t>
      </w:r>
      <w:r>
        <w:t xml:space="preserve"> </w:t>
      </w:r>
      <w:r>
        <w:rPr>
          <w:bCs/>
          <w:b/>
        </w:rPr>
        <w:t xml:space="preserve">OWASP ASVS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OWASP MASVS</w:t>
      </w:r>
      <w:r>
        <w:t xml:space="preserve"> </w:t>
      </w:r>
      <w:r>
        <w:t xml:space="preserve">para los requisitos de seguridad verificables, y</w:t>
      </w:r>
      <w:r>
        <w:t xml:space="preserve"> </w:t>
      </w:r>
      <w:r>
        <w:rPr>
          <w:bCs/>
          <w:b/>
        </w:rPr>
        <w:t xml:space="preserve">STRIDE</w:t>
      </w:r>
      <w:r>
        <w:t xml:space="preserve"> </w:t>
      </w:r>
      <w:r>
        <w:t xml:space="preserve">para el modelado de amenazas.</w:t>
      </w:r>
    </w:p>
    <w:bookmarkEnd w:id="24"/>
    <w:bookmarkStart w:id="27" w:name="objetivos"/>
    <w:p>
      <w:pPr>
        <w:pStyle w:val="Heading2"/>
      </w:pPr>
      <w:r>
        <w:t xml:space="preserve">2. Objetivos</w:t>
      </w:r>
    </w:p>
    <w:bookmarkStart w:id="25" w:name="objetivo-general"/>
    <w:p>
      <w:pPr>
        <w:pStyle w:val="Heading3"/>
      </w:pPr>
      <w:r>
        <w:t xml:space="preserve">2.1 Objetivo general</w:t>
      </w:r>
    </w:p>
    <w:p>
      <w:pPr>
        <w:pStyle w:val="FirstParagraph"/>
      </w:pPr>
      <w:r>
        <w:t xml:space="preserve">Implementar un pipeline DevSecOps completo para una aplicación móvil de cifrado —desde el análisis de requerimientos y el modelado de amenazas hasta el diagnóstico automatizado de vulnerabilidades y su remediación verificada—, dejando el pipeline en verde y documentando todo el proceso con evidencia.</w:t>
      </w:r>
    </w:p>
    <w:bookmarkEnd w:id="25"/>
    <w:bookmarkStart w:id="26" w:name="objetivos-específicos"/>
    <w:p>
      <w:pPr>
        <w:pStyle w:val="Heading3"/>
      </w:pPr>
      <w:r>
        <w:t xml:space="preserve">2.2 Objetivos específicos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Analizar los requerimientos de seguridad</w:t>
      </w:r>
      <w:r>
        <w:t xml:space="preserve"> </w:t>
      </w:r>
      <w:r>
        <w:t xml:space="preserve">de la aplicación móvil (confidencialidad, integridad, disponibilidad y autenticación), justificando cada uno y mapeándolos a estándares (OWASP SAMM, NIST SSDF, ASVS, MASVS).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Modelar las amenazas</w:t>
      </w:r>
      <w:r>
        <w:t xml:space="preserve"> </w:t>
      </w:r>
      <w:r>
        <w:t xml:space="preserve">del sistema con STRIDE, identificando componente afectado, ejemplo de ataque, control y severidad por amenaza.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el entorno de desarrollo en la nube</w:t>
      </w:r>
      <w:r>
        <w:t xml:space="preserve"> </w:t>
      </w:r>
      <w:r>
        <w:t xml:space="preserve">(GitHub Codespaces) con Node.js 20 y Docker, documentando la configuración paso a paso.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Implementar el módulo de cifrado RSA</w:t>
      </w:r>
      <w:r>
        <w:t xml:space="preserve"> </w:t>
      </w:r>
      <w:r>
        <w:t xml:space="preserve">(padding OAEP) en el servicio backend, con funciones de utilidad de validación de entrada y manejo de errores.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la identidad</w:t>
      </w:r>
      <w:r>
        <w:t xml:space="preserve"> </w:t>
      </w:r>
      <w:r>
        <w:t xml:space="preserve">con Keycloak (realm, cliente y usuario) y verificar el flujo completo de cifrado/descifrado con token.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Ejecutar el pipeline de seis pruebas de seguridad</w:t>
      </w:r>
      <w:r>
        <w:t xml:space="preserve"> </w:t>
      </w:r>
      <w:r>
        <w:t xml:space="preserve">(SAST ×2, secretos, SCA, imagen y DAST) y documentar los hallazgos de la Fase 1.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Corregir las vulnerabilidades</w:t>
      </w:r>
      <w:r>
        <w:t xml:space="preserve"> </w:t>
      </w:r>
      <w:r>
        <w:t xml:space="preserve">en la Fase 2, verificando la transición de rojo a verde con trazabilidad por commit.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Calcular los riesgos</w:t>
      </w:r>
      <w:r>
        <w:t xml:space="preserve"> </w:t>
      </w:r>
      <w:r>
        <w:t xml:space="preserve">de las vulnerabilidades con método probabilístico (P×I) y análisis gerencial (ALE).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Documentar todas las pruebas</w:t>
      </w:r>
      <w:r>
        <w:t xml:space="preserve"> </w:t>
      </w:r>
      <w:r>
        <w:t xml:space="preserve">realizadas (funcionales, del pipeline, pentest y automatizadas) con datos de entrada, esperado y real.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Proteger la rama principal</w:t>
      </w:r>
      <w:r>
        <w:t xml:space="preserve"> </w:t>
      </w:r>
      <w:r>
        <w:t xml:space="preserve">y entregar el informe integrado en PDF con todas las tablas consolidadas.</w:t>
      </w:r>
    </w:p>
    <w:bookmarkEnd w:id="26"/>
    <w:bookmarkEnd w:id="27"/>
    <w:bookmarkStart w:id="31" w:name="alcance-supuestos-y-reglas-de-compromiso"/>
    <w:p>
      <w:pPr>
        <w:pStyle w:val="Heading2"/>
      </w:pPr>
      <w:r>
        <w:t xml:space="preserve">3. Alcance, supuestos y reglas de compromiso</w:t>
      </w:r>
    </w:p>
    <w:bookmarkStart w:id="28" w:name="alcance"/>
    <w:p>
      <w:pPr>
        <w:pStyle w:val="Heading3"/>
      </w:pPr>
      <w:r>
        <w:t xml:space="preserve">3.1 Alcance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App móvil (cliente):</w:t>
      </w:r>
      <w:r>
        <w:t xml:space="preserve"> </w:t>
      </w:r>
      <w:r>
        <w:t xml:space="preserve">aplicación Expo/React Native que cifra y descifra datos y maneja el token.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 de cifrado (backend):</w:t>
      </w:r>
      <w:r>
        <w:t xml:space="preserve"> </w:t>
      </w:r>
      <w:r>
        <w:t xml:space="preserve">API Node.js con endpoints</w:t>
      </w:r>
      <w:r>
        <w:t xml:space="preserve"> </w:t>
      </w:r>
      <w:r>
        <w:rPr>
          <w:rStyle w:val="VerbatimChar"/>
        </w:rPr>
        <w:t xml:space="preserve">/salud</w:t>
      </w:r>
      <w:r>
        <w:t xml:space="preserve">,</w:t>
      </w:r>
      <w:r>
        <w:t xml:space="preserve"> </w:t>
      </w:r>
      <w:r>
        <w:rPr>
          <w:rStyle w:val="VerbatimChar"/>
        </w:rPr>
        <w:t xml:space="preserve">/cifrar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/descifrar</w:t>
      </w:r>
      <w:r>
        <w:t xml:space="preserve">, módulo RSA y validación de token.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IAM:</w:t>
      </w:r>
      <w:r>
        <w:t xml:space="preserve"> </w:t>
      </w:r>
      <w:r>
        <w:t xml:space="preserve">Keycloak que entrega y valida tokens JWT.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Pipeline DevSecOps:</w:t>
      </w:r>
      <w:r>
        <w:t xml:space="preserve"> </w:t>
      </w:r>
      <w:r>
        <w:t xml:space="preserve">seis pruebas automáticas en GitHub Actions.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Documentación:</w:t>
      </w:r>
      <w:r>
        <w:t xml:space="preserve"> </w:t>
      </w:r>
      <w:r>
        <w:t xml:space="preserve">informe integrado, tablas 1–6, evidencias y plantilla de diagnóstico.</w:t>
      </w:r>
    </w:p>
    <w:bookmarkEnd w:id="28"/>
    <w:bookmarkStart w:id="29" w:name="supuestos"/>
    <w:p>
      <w:pPr>
        <w:pStyle w:val="Heading3"/>
      </w:pPr>
      <w:r>
        <w:t xml:space="preserve">3.2 Supuestos</w:t>
      </w:r>
    </w:p>
    <w:p>
      <w:pPr>
        <w:numPr>
          <w:ilvl w:val="0"/>
          <w:numId w:val="1003"/>
        </w:numPr>
        <w:pStyle w:val="Compact"/>
      </w:pPr>
      <w:r>
        <w:t xml:space="preserve">El entorno de ejecución es</w:t>
      </w:r>
      <w:r>
        <w:t xml:space="preserve"> </w:t>
      </w:r>
      <w:r>
        <w:rPr>
          <w:bCs/>
          <w:b/>
        </w:rPr>
        <w:t xml:space="preserve">GitHub Codespaces</w:t>
      </w:r>
      <w:r>
        <w:t xml:space="preserve"> </w:t>
      </w:r>
      <w:r>
        <w:t xml:space="preserve">(Node 20 y Docker preinstalados); no se instala nada en la computadora local.</w:t>
      </w:r>
    </w:p>
    <w:p>
      <w:pPr>
        <w:numPr>
          <w:ilvl w:val="0"/>
          <w:numId w:val="1003"/>
        </w:numPr>
        <w:pStyle w:val="Compact"/>
      </w:pPr>
      <w:r>
        <w:t xml:space="preserve">El repositorio es</w:t>
      </w:r>
      <w:r>
        <w:t xml:space="preserve"> </w:t>
      </w:r>
      <w:r>
        <w:rPr>
          <w:bCs/>
          <w:b/>
        </w:rPr>
        <w:t xml:space="preserve">privado durante el desarrollo</w:t>
      </w:r>
      <w:r>
        <w:t xml:space="preserve"> </w:t>
      </w:r>
      <w:r>
        <w:t xml:space="preserve">y se hará</w:t>
      </w:r>
      <w:r>
        <w:t xml:space="preserve"> </w:t>
      </w:r>
      <w:r>
        <w:rPr>
          <w:bCs/>
          <w:b/>
        </w:rPr>
        <w:t xml:space="preserve">público al finalizar</w:t>
      </w:r>
      <w:r>
        <w:t xml:space="preserve"> </w:t>
      </w:r>
      <w:r>
        <w:t xml:space="preserve">(requisito para que CodeQL sea gratuito y el docente pueda revisar).</w:t>
      </w:r>
    </w:p>
    <w:p>
      <w:pPr>
        <w:numPr>
          <w:ilvl w:val="0"/>
          <w:numId w:val="1003"/>
        </w:numPr>
        <w:pStyle w:val="Compact"/>
      </w:pPr>
      <w:r>
        <w:t xml:space="preserve">Los secretos del laboratorio son</w:t>
      </w:r>
      <w:r>
        <w:t xml:space="preserve"> </w:t>
      </w:r>
      <w:r>
        <w:rPr>
          <w:bCs/>
          <w:b/>
        </w:rPr>
        <w:t xml:space="preserve">ficticios, de práctica</w:t>
      </w:r>
      <w:r>
        <w:t xml:space="preserve">; no se suben secretos reales.</w:t>
      </w:r>
    </w:p>
    <w:p>
      <w:pPr>
        <w:numPr>
          <w:ilvl w:val="0"/>
          <w:numId w:val="1003"/>
        </w:numPr>
        <w:pStyle w:val="Compact"/>
      </w:pPr>
      <w:r>
        <w:t xml:space="preserve">Mientras el repo esté privado,</w:t>
      </w:r>
      <w:r>
        <w:t xml:space="preserve"> </w:t>
      </w:r>
      <w:r>
        <w:rPr>
          <w:bCs/>
          <w:b/>
        </w:rPr>
        <w:t xml:space="preserve">Semgrep es la prueba SAST principal</w:t>
      </w:r>
      <w:r>
        <w:t xml:space="preserve">; CodeQL no produce resultados hasta hacerlo público (según la guía).</w:t>
      </w:r>
    </w:p>
    <w:bookmarkEnd w:id="29"/>
    <w:bookmarkStart w:id="30" w:name="reglas-de-compromiso"/>
    <w:p>
      <w:pPr>
        <w:pStyle w:val="Heading3"/>
      </w:pPr>
      <w:r>
        <w:t xml:space="preserve">3.3 Reglas de compromiso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Permitido:</w:t>
      </w:r>
      <w:r>
        <w:t xml:space="preserve"> </w:t>
      </w:r>
      <w:r>
        <w:t xml:space="preserve">ejecutar el laboratorio en el Codespace, generar y eliminar llaves de prueba, cifrar/descifrar datos de demostración, ejecutar el pipeline y descargar reportes.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Prohibido:</w:t>
      </w:r>
      <w:r>
        <w:t xml:space="preserve"> </w:t>
      </w:r>
      <w:r>
        <w:t xml:space="preserve">usar llaves o credenciales reales, subir secretos al repositorio, ejecutar el pentest contra sistemas de terceros, publicar el repositorio con datos sensibles.</w:t>
      </w:r>
    </w:p>
    <w:bookmarkEnd w:id="30"/>
    <w:bookmarkEnd w:id="31"/>
    <w:bookmarkStart w:id="35" w:name="metodología"/>
    <w:p>
      <w:pPr>
        <w:pStyle w:val="Heading2"/>
      </w:pPr>
      <w:r>
        <w:t xml:space="preserve">4. Metodología</w:t>
      </w:r>
    </w:p>
    <w:bookmarkStart w:id="32" w:name="ciclo-devsecops"/>
    <w:p>
      <w:pPr>
        <w:pStyle w:val="Heading3"/>
      </w:pPr>
      <w:r>
        <w:t xml:space="preserve">4.1 Ciclo DevSecOps</w:t>
      </w:r>
    </w:p>
    <w:p>
      <w:pPr>
        <w:pStyle w:val="FirstParagraph"/>
      </w:pPr>
      <w:r>
        <w:t xml:space="preserve">El proyecto sigue el ciclo</w:t>
      </w:r>
      <w:r>
        <w:t xml:space="preserve"> </w:t>
      </w:r>
      <w:r>
        <w:rPr>
          <w:bCs/>
          <w:b/>
        </w:rPr>
        <w:t xml:space="preserve">detectar → corregir → volver a probar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Fase 1 — Diagnóstico:</w:t>
      </w:r>
      <w:r>
        <w:t xml:space="preserve"> </w:t>
      </w:r>
      <w:r>
        <w:t xml:space="preserve">se sube el proyecto inseguro, el pipeline se ejecuta solo y se documentan todos los hallazgos en rojo (Tabla 3).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Fase 2 — Remediación:</w:t>
      </w:r>
      <w:r>
        <w:t xml:space="preserve"> </w:t>
      </w:r>
      <w:r>
        <w:t xml:space="preserve">se corrige cada hallazgo (un commit por corrección), se sube el cambio y se verifica la transición a verde (Tabla 4).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Cierre:</w:t>
      </w:r>
      <w:r>
        <w:t xml:space="preserve"> </w:t>
      </w:r>
      <w:r>
        <w:t xml:space="preserve">pentest, cálculo de riesgos (Tabla 5), documentación de pruebas (Tabla 6), protección de la rama principal e informe final.</w:t>
      </w:r>
    </w:p>
    <w:bookmarkEnd w:id="32"/>
    <w:bookmarkStart w:id="33" w:name="marco-de-referencia"/>
    <w:p>
      <w:pPr>
        <w:pStyle w:val="Heading3"/>
      </w:pPr>
      <w:r>
        <w:t xml:space="preserve">4.2 Marco de referencia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Aporte al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NIST SSDF</w:t>
            </w:r>
            <w:r>
              <w:t xml:space="preserve"> </w:t>
            </w:r>
            <w:r>
              <w:t xml:space="preserve">(SP 800-218)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Prácticas del ciclo de vida seguro: definir requisitos (PW.4), implementar código seguro (PW.5–7), verificar (RV.1–3)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OWASP SAMM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Madurez del proceso DevSecOps: estrategia, diseño seguro, implementación, verificación, operaciones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OWASP ASVS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 de seguridad verificables (autenticación, validación, criptografía, errores, cabeceras)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OWASP MASVS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 específicos de aplicaciones móviles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STRIDE</w:t>
            </w:r>
            <w:r>
              <w:t xml:space="preserve"> </w:t>
            </w:r>
            <w:r>
              <w:t xml:space="preserve">(Microsoft)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Modelado de amenazas por categoría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Identificación precisa de debilidades en los hallazgos</w:t>
            </w:r>
          </w:p>
        </w:tc>
      </w:tr>
    </w:tbl>
    <w:bookmarkEnd w:id="33"/>
    <w:bookmarkStart w:id="34" w:name="reproducibilidad"/>
    <w:p>
      <w:pPr>
        <w:pStyle w:val="Heading3"/>
      </w:pPr>
      <w:r>
        <w:t xml:space="preserve">4.3 Reproducibilidad</w:t>
      </w:r>
    </w:p>
    <w:p>
      <w:pPr>
        <w:pStyle w:val="FirstParagraph"/>
      </w:pPr>
      <w:r>
        <w:t xml:space="preserve">Todo el entorno es reproducible:</w:t>
      </w:r>
      <w:r>
        <w:t xml:space="preserve"> </w:t>
      </w:r>
      <w:r>
        <w:rPr>
          <w:rStyle w:val="VerbatimChar"/>
        </w:rPr>
        <w:t xml:space="preserve">.devcontainer/devcontainer.json</w:t>
      </w:r>
      <w:r>
        <w:t xml:space="preserve"> </w:t>
      </w:r>
      <w:r>
        <w:t xml:space="preserve">define el Codespace (Node 20 + Docker);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define el stack (servicio + Keycloak); el pipeline se ejecuta en cada push. Los reportes se descargan como artefactos y se registran con hash SHA-256 en el manifiesto de evidencias.</w:t>
      </w:r>
    </w:p>
    <w:bookmarkEnd w:id="34"/>
    <w:bookmarkEnd w:id="35"/>
    <w:bookmarkStart w:id="37" w:name="requerimientos-de-seguridad"/>
    <w:p>
      <w:pPr>
        <w:pStyle w:val="Heading2"/>
      </w:pPr>
      <w:r>
        <w:t xml:space="preserve">5. Requerimientos de seguridad</w:t>
      </w:r>
    </w:p>
    <w:p>
      <w:pPr>
        <w:pStyle w:val="BlockText"/>
      </w:pPr>
      <w:r>
        <w:t xml:space="preserve">Ver</w:t>
      </w:r>
      <w:r>
        <w:t xml:space="preserve"> </w:t>
      </w:r>
      <w:r>
        <w:rPr>
          <w:bCs/>
          <w:b/>
        </w:rPr>
        <w:t xml:space="preserve">Tabla 1</w:t>
      </w:r>
      <w:r>
        <w:t xml:space="preserve"> </w:t>
      </w:r>
      <w:r>
        <w:t xml:space="preserve">completa en</w:t>
      </w:r>
      <w:r>
        <w:t xml:space="preserve"> </w:t>
      </w:r>
      <w:hyperlink r:id="rId36">
        <w:r>
          <w:rPr>
            <w:rStyle w:val="VerbatimChar"/>
          </w:rPr>
          <w:t xml:space="preserve">docs/tablas/tabla-1-requisitos.md</w:t>
        </w:r>
      </w:hyperlink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Propiedad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datos se cifran antes de viajar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RSA-2048 OAEP-SHA256 en</w:t>
            </w:r>
            <w:r>
              <w:t xml:space="preserve"> </w:t>
            </w:r>
            <w:r>
              <w:rPr>
                <w:rStyle w:val="VerbatimChar"/>
              </w:rPr>
              <w:t xml:space="preserve">cifrado.js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Roundtrip cifrar/descifrar; DAST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dato alterado no se descifra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OAEP detecta manipulación; fallo seguro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Pentest: 1 byte alterado → error 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servicio no se cae con entradas raras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 tipo y 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 vacía/100 MB/no texto → rechazo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usuarios válidos usan 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de Keycloak verificado en</w:t>
            </w:r>
            <w:r>
              <w:t xml:space="preserve"> </w:t>
            </w:r>
            <w:r>
              <w:rPr>
                <w:rStyle w:val="VerbatimChar"/>
              </w:rPr>
              <w:t xml:space="preserve">auth.js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/cifrar</w:t>
            </w:r>
            <w:r>
              <w:t xml:space="preserve"> </w:t>
            </w:r>
            <w:r>
              <w:t xml:space="preserve">sin token → 401; con token →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repudio</w:t>
            </w:r>
            <w:r>
              <w:t xml:space="preserve"> </w:t>
            </w:r>
            <w:r>
              <w:rPr>
                <w:iCs/>
                <w:i/>
              </w:rPr>
              <w:t xml:space="preserve">(extra)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operación queda registrada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Bitácora en</w:t>
            </w:r>
            <w:r>
              <w:t xml:space="preserve"> </w:t>
            </w:r>
            <w:r>
              <w:rPr>
                <w:rStyle w:val="VerbatimChar"/>
              </w:rPr>
              <w:t xml:space="preserve">db.js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de bitácora tras operar</w:t>
            </w:r>
          </w:p>
        </w:tc>
      </w:tr>
    </w:tbl>
    <w:p>
      <w:pPr>
        <w:pStyle w:val="BodyTex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cada requisito se justifica en la Tabla 1 (por qué es necesario, qué ataque mitiga y qué estándar lo respalda). La justificación cubre: confidencialidad (red no confiable), integridad (manipulación en tránsito), disponibilidad (DoS por entrada malformada), autenticación (abuso del servicio como oráculo de cifrado) y no repudio (auditoría).</w:t>
      </w:r>
    </w:p>
    <w:bookmarkEnd w:id="37"/>
    <w:bookmarkStart w:id="40" w:name="amenazas-stride"/>
    <w:p>
      <w:pPr>
        <w:pStyle w:val="Heading2"/>
      </w:pPr>
      <w:r>
        <w:t xml:space="preserve">6. Amenazas (STRIDE)</w:t>
      </w:r>
    </w:p>
    <w:p>
      <w:pPr>
        <w:pStyle w:val="BlockText"/>
      </w:pPr>
      <w:r>
        <w:t xml:space="preserve">Ver</w:t>
      </w:r>
      <w:r>
        <w:t xml:space="preserve"> </w:t>
      </w:r>
      <w:r>
        <w:rPr>
          <w:bCs/>
          <w:b/>
        </w:rPr>
        <w:t xml:space="preserve">Tabla 2</w:t>
      </w:r>
      <w:r>
        <w:t xml:space="preserve"> </w:t>
      </w:r>
      <w:r>
        <w:t xml:space="preserve">completa en</w:t>
      </w:r>
      <w:r>
        <w:t xml:space="preserve"> </w:t>
      </w:r>
      <w:hyperlink r:id="rId38">
        <w:r>
          <w:rPr>
            <w:rStyle w:val="VerbatimChar"/>
          </w:rPr>
          <w:t xml:space="preserve">docs/tablas/tabla-2-stride.md</w:t>
        </w:r>
      </w:hyperlink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Amenaza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de ataque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Spoofing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de cifrado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el servicio sin identidad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válido (Keycloak)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Tampering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en tránsito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Alterar el texto cifrado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Descifrado que falla seguro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Repudiation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Negar una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Bitácora 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 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 /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 secretos o errores internos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secretos; errores genéricos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Denial of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de cifrado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Enviar datos enormes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tamaño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 of privilege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como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Contenedor no-root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</w:tbl>
    <w:p>
      <w:pPr>
        <w:pStyle w:val="BodyText"/>
      </w:pPr>
      <w:r>
        <w:t xml:space="preserve">Cada amenaza incluye en la Tabla 2: severidad justificada, prueba concreta de verificación del control y CWE asociada (para cruzar con los hallazgos de la Tabla 3).</w:t>
      </w:r>
    </w:p>
    <w:bookmarkStart w:id="39" w:name="casos-de-abuso-misuse-cases"/>
    <w:p>
      <w:pPr>
        <w:pStyle w:val="Heading3"/>
      </w:pPr>
      <w:r>
        <w:t xml:space="preserve">6.1 Casos de abuso (misuse cases)</w:t>
      </w:r>
    </w:p>
    <w:p>
      <w:pPr>
        <w:pStyle w:val="FirstParagraph"/>
      </w:pPr>
      <w:r>
        <w:t xml:space="preserve">Complementan el modelado STRIDE con escenarios concretos de uso malicioso: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 de abuso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esperado del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el servicio de cifrado sin autenticarse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Atacante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 No autorizado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Cifrar/descifrar con un token falso (firma inválida)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Atacante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 No autorizado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Alterar el texto cifrado en tránsito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Atacante MITM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controlado (OAEP detecta manipulación)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Enviar entradas malformadas (vacías, enormes, no 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Atacante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Rechazo con 400; servicio sigue disponible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 secretos del 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Cualquiera (repo público)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secretos en el repo (Gitleaks en verde)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Explotar el servicio como oráculo de cifrado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Atacante 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limiting y bitácora (no repudio)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Escalar privilegios dentro del contenedor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Atacante con 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Contenedor no-root (Trivy en verde)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Negar una operación realizada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Bitácora consultable (no repudio)</w:t>
            </w:r>
          </w:p>
        </w:tc>
      </w:tr>
    </w:tbl>
    <w:bookmarkEnd w:id="39"/>
    <w:bookmarkEnd w:id="40"/>
    <w:bookmarkStart w:id="45" w:name="jerarquía-de-diseño"/>
    <w:p>
      <w:pPr>
        <w:pStyle w:val="Heading2"/>
      </w:pPr>
      <w:r>
        <w:t xml:space="preserve">7. Jerarquía de diseño</w:t>
      </w:r>
    </w:p>
    <w:p>
      <w:pPr>
        <w:pStyle w:val="BlockText"/>
      </w:pPr>
      <w:r>
        <w:t xml:space="preserve">Ver</w:t>
      </w:r>
      <w:r>
        <w:t xml:space="preserve"> </w:t>
      </w:r>
      <w:hyperlink r:id="rId41">
        <w:r>
          <w:rPr>
            <w:rStyle w:val="VerbatimChar"/>
          </w:rPr>
          <w:t xml:space="preserve">docs/jerarquia_diseno.md</w:t>
        </w:r>
      </w:hyperlink>
      <w:r>
        <w:t xml:space="preserve"> </w:t>
      </w:r>
      <w:r>
        <w:t xml:space="preserve">— arquitectura, árbol de archivos, tabla de subsistemas y componentes críticos.</w:t>
      </w:r>
    </w:p>
    <w:p>
      <w:pPr>
        <w:pStyle w:val="FirstParagraph"/>
      </w:pPr>
      <w:r>
        <w:rPr>
          <w:bCs/>
          <w:b/>
        </w:rPr>
        <w:t xml:space="preserve">Figura 1. Contexto de la aplicación</w:t>
      </w:r>
      <w:r>
        <w:t xml:space="preserve"> </w:t>
      </w:r>
      <w:r>
        <w:t xml:space="preserve">(EV-C204-015): la app móvil consume el servicio de cifrado (RSA), Keycloak valida la identidad y el pipeline DevSecOps revisa todo en cada cambio.</w:t>
      </w:r>
    </w:p>
    <w:p>
      <w:pPr>
        <w:pStyle w:val="BodyText"/>
      </w:pPr>
      <w:r>
        <w:rPr>
          <w:bCs/>
          <w:b/>
        </w:rPr>
        <w:t xml:space="preserve">Figura 2. Arquitectura y límites de confianza</w:t>
      </w:r>
      <w:r>
        <w:t xml:space="preserve"> </w:t>
      </w:r>
      <w:r>
        <w:t xml:space="preserve">(EV-C204-016): las tres capas (app, servicio, IAM) con sus límites de confianza.</w:t>
      </w:r>
    </w:p>
    <w:p>
      <w:pPr>
        <w:pStyle w:val="BodyText"/>
      </w:pPr>
      <w:r>
        <w:rPr>
          <w:bCs/>
          <w:b/>
        </w:rPr>
        <w:t xml:space="preserve">Figura 3. Flujo de cifrado con identidad</w:t>
      </w:r>
      <w:r>
        <w:t xml:space="preserve"> </w:t>
      </w:r>
      <w:r>
        <w:t xml:space="preserve">(EV-C204-017): la app pide un token a Keycloak, lo envía al servicio, y este valida el token antes de cifrar/descifrar con RSA.</w:t>
      </w:r>
    </w:p>
    <w:bookmarkStart w:id="42" w:name="subsistemas"/>
    <w:p>
      <w:pPr>
        <w:pStyle w:val="Heading3"/>
      </w:pPr>
      <w:r>
        <w:t xml:space="preserve">7.1 Subsistemas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Superficie de ataque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Propensión a fallar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móvil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Cifrar/descifrar; maneja el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de cifrado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Endpoints</w:t>
            </w:r>
            <w:r>
              <w:t xml:space="preserve"> </w:t>
            </w:r>
            <w:r>
              <w:rPr>
                <w:rStyle w:val="VerbatimChar"/>
              </w:rPr>
              <w:t xml:space="preserve">/salud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/cifrar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/descifrar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Módulo 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Cifrado/descifrado RSA-OAEP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 token JWT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Bitácora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operaciones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IAM (Keycloak)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y valida tokens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</w:tr>
    </w:tbl>
    <w:bookmarkEnd w:id="42"/>
    <w:bookmarkStart w:id="43" w:name="componentes-críticos"/>
    <w:p>
      <w:pPr>
        <w:pStyle w:val="Heading3"/>
      </w:pPr>
      <w:r>
        <w:t xml:space="preserve">7.2 Componentes críticos</w:t>
      </w:r>
    </w:p>
    <w:p>
      <w:pPr>
        <w:pStyle w:val="FirstParagraph"/>
      </w:pPr>
      <w:r>
        <w:t xml:space="preserve">Según los cuatro factores de la rúbrica (complejidad, frecuencia de uso, exposición a datos sensibles e interacción con componentes externos), los componentes críticos son:</w:t>
      </w:r>
      <w:r>
        <w:t xml:space="preserve"> </w:t>
      </w:r>
      <w:r>
        <w:rPr>
          <w:bCs/>
          <w:b/>
        </w:rPr>
        <w:t xml:space="preserve">API de cifrado</w:t>
      </w:r>
      <w:r>
        <w:t xml:space="preserve">,</w:t>
      </w:r>
      <w:r>
        <w:t xml:space="preserve"> </w:t>
      </w:r>
      <w:r>
        <w:rPr>
          <w:bCs/>
          <w:b/>
        </w:rPr>
        <w:t xml:space="preserve">autenticación (JWT)</w:t>
      </w:r>
      <w:r>
        <w:t xml:space="preserve">,</w:t>
      </w:r>
      <w:r>
        <w:t xml:space="preserve"> </w:t>
      </w:r>
      <w:r>
        <w:rPr>
          <w:bCs/>
          <w:b/>
        </w:rPr>
        <w:t xml:space="preserve">módulo RSA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app móvil</w:t>
      </w:r>
      <w:r>
        <w:t xml:space="preserve">. Sus modos de fallo y mitigaciones están documentados en</w:t>
      </w:r>
      <w:r>
        <w:t xml:space="preserve"> </w:t>
      </w:r>
      <w:r>
        <w:rPr>
          <w:rStyle w:val="VerbatimChar"/>
        </w:rPr>
        <w:t xml:space="preserve">docs/jerarquia_diseno.md</w:t>
      </w:r>
      <w:r>
        <w:t xml:space="preserve">.</w:t>
      </w:r>
    </w:p>
    <w:bookmarkEnd w:id="43"/>
    <w:bookmarkStart w:id="44" w:name="inventario-de-activos"/>
    <w:p>
      <w:pPr>
        <w:pStyle w:val="Heading3"/>
      </w:pPr>
      <w:r>
        <w:t xml:space="preserve">7.3 Inventario de activos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plano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memoria, solo durante la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cifrado (base64)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memoria / respuesta HTTP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Llaves RSA (pública/privada)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Criptográfico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Fuera del repo (env / secretos)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memoria de la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Credenciales de Keycloak (admin/demo)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Consola Keycloak / 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Bitácora de operaciones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db.js</w:t>
            </w:r>
            <w:r>
              <w:t xml:space="preserve"> </w:t>
            </w:r>
            <w:r>
              <w:t xml:space="preserve">(SQLite)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fuente (servidor + 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Público (al finalizar)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GitHub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Reportes de seguridad (Semgrep, Gitleaks, SBOM, ZAP)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docs/evidencias/</w:t>
            </w:r>
            <w:r>
              <w:t xml:space="preserve"> </w:t>
            </w:r>
            <w:r>
              <w:t xml:space="preserve">+ artifacts</w:t>
            </w:r>
          </w:p>
        </w:tc>
      </w:tr>
    </w:tbl>
    <w:p>
      <w:pPr>
        <w:pStyle w:val="BlockText"/>
      </w:pPr>
      <w:r>
        <w:t xml:space="preserve">El inventario alimenta el análisis ALE de la Tabla 5 (valor de activos y factor de exposición).</w:t>
      </w:r>
    </w:p>
    <w:bookmarkEnd w:id="44"/>
    <w:bookmarkEnd w:id="45"/>
    <w:bookmarkStart w:id="50" w:name="configuración-del-entorno-paso-a-paso"/>
    <w:p>
      <w:pPr>
        <w:pStyle w:val="Heading2"/>
      </w:pPr>
      <w:r>
        <w:t xml:space="preserve">8. Configuración del entorno (paso a paso)</w:t>
      </w:r>
    </w:p>
    <w:bookmarkStart w:id="46" w:name="entorno-en-la-nube-codespace"/>
    <w:p>
      <w:pPr>
        <w:pStyle w:val="Heading3"/>
      </w:pPr>
      <w:r>
        <w:t xml:space="preserve">8.1 Entorno en la nube (Codespace)</w:t>
      </w:r>
    </w:p>
    <w:p>
      <w:pPr>
        <w:numPr>
          <w:ilvl w:val="0"/>
          <w:numId w:val="1006"/>
        </w:numPr>
      </w:pPr>
      <w:r>
        <w:t xml:space="preserve">Crear el repositorio público</w:t>
      </w:r>
      <w:r>
        <w:t xml:space="preserve"> </w:t>
      </w:r>
      <w:r>
        <w:rPr>
          <w:rStyle w:val="VerbatimChar"/>
        </w:rPr>
        <w:t xml:space="preserve">proyecto-devsecops-cib204</w:t>
      </w:r>
      <w:r>
        <w:t xml:space="preserve"> </w:t>
      </w:r>
      <w:r>
        <w:t xml:space="preserve">(privado durante el desarrollo).</w:t>
      </w:r>
    </w:p>
    <w:p>
      <w:pPr>
        <w:numPr>
          <w:ilvl w:val="0"/>
          <w:numId w:val="1006"/>
        </w:numPr>
      </w:pPr>
      <w:r>
        <w:t xml:space="preserve">Abrir un Codespace en el repositorio (máquina 2-core). La configuración vive en</w:t>
      </w:r>
      <w:r>
        <w:t xml:space="preserve"> </w:t>
      </w:r>
      <w:r>
        <w:rPr>
          <w:rStyle w:val="VerbatimChar"/>
        </w:rPr>
        <w:t xml:space="preserve">.devcontainer/devcontainer.json</w:t>
      </w:r>
      <w:r>
        <w:t xml:space="preserve"> </w:t>
      </w:r>
      <w:r>
        <w:t xml:space="preserve">(Node 20 + Docker).</w:t>
      </w:r>
    </w:p>
    <w:p>
      <w:pPr>
        <w:numPr>
          <w:ilvl w:val="0"/>
          <w:numId w:val="1006"/>
        </w:numPr>
      </w:pPr>
      <w:r>
        <w:t xml:space="preserve">Verificar las versiones: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v20.x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10.x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Evidencia:</w:t>
      </w:r>
      <w:r>
        <w:t xml:space="preserve"> </w:t>
      </w:r>
      <w:r>
        <w:t xml:space="preserve">EV-C204-001 (captura de versiones).</w:t>
      </w:r>
    </w:p>
    <w:bookmarkEnd w:id="46"/>
    <w:bookmarkStart w:id="47" w:name="levantar-el-servicio-y-keycloak"/>
    <w:p>
      <w:pPr>
        <w:pStyle w:val="Heading3"/>
      </w:pPr>
      <w:r>
        <w:t xml:space="preserve">8.2 Levantar el servicio y Keycloak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</w:t>
      </w:r>
      <w:r>
        <w:rPr>
          <w:rStyle w:val="CommentTok"/>
        </w:rPr>
        <w:t xml:space="preserve"># ambos "running"</w:t>
      </w:r>
    </w:p>
    <w:p>
      <w:pPr>
        <w:pStyle w:val="FirstParagraph"/>
      </w:pPr>
      <w:r>
        <w:t xml:space="preserve">El servicio responde en el puerto 3000; Keycloak en el 8080. Verificación: abrir la URL del puerto 3000 con</w:t>
      </w:r>
      <w:r>
        <w:t xml:space="preserve"> </w:t>
      </w:r>
      <w:r>
        <w:rPr>
          <w:rStyle w:val="VerbatimChar"/>
        </w:rPr>
        <w:t xml:space="preserve">/salud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{"estado":"ok","version":"inseguro-1.0"}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Evidencia:</w:t>
      </w:r>
      <w:r>
        <w:t xml:space="preserve"> </w:t>
      </w:r>
      <w:r>
        <w:t xml:space="preserve">EV-C204-002.</w:t>
      </w:r>
    </w:p>
    <w:bookmarkEnd w:id="47"/>
    <w:bookmarkStart w:id="48" w:name="configurar-keycloak-iam"/>
    <w:p>
      <w:pPr>
        <w:pStyle w:val="Heading3"/>
      </w:pPr>
      <w:r>
        <w:t xml:space="preserve">8.3 Configurar Keycloak (IAM)</w:t>
      </w:r>
    </w:p>
    <w:p>
      <w:pPr>
        <w:numPr>
          <w:ilvl w:val="0"/>
          <w:numId w:val="1007"/>
        </w:numPr>
        <w:pStyle w:val="Compact"/>
      </w:pPr>
      <w:r>
        <w:t xml:space="preserve">Abrir la consola de administración (puerto 8080) con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Crear el realm</w:t>
      </w:r>
      <w:r>
        <w:t xml:space="preserve"> </w:t>
      </w:r>
      <w:r>
        <w:rPr>
          <w:rStyle w:val="VerbatimChar"/>
        </w:rPr>
        <w:t xml:space="preserve">appmovil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Crear el cliente</w:t>
      </w:r>
      <w:r>
        <w:t xml:space="preserve"> </w:t>
      </w:r>
      <w:r>
        <w:rPr>
          <w:rStyle w:val="VerbatimChar"/>
        </w:rPr>
        <w:t xml:space="preserve">servicio-cifrado</w:t>
      </w:r>
      <w:r>
        <w:t xml:space="preserve"> </w:t>
      </w:r>
      <w:r>
        <w:t xml:space="preserve">(OpenID Connect,</w:t>
      </w:r>
      <w:r>
        <w:t xml:space="preserve"> </w:t>
      </w:r>
      <w:r>
        <w:rPr>
          <w:iCs/>
          <w:i/>
        </w:rPr>
        <w:t xml:space="preserve">Direct access grants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Crear el usuario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(email, nombre, apellido, email verificado, contraseña no temporal).</w:t>
      </w:r>
    </w:p>
    <w:p>
      <w:pPr>
        <w:pStyle w:val="FirstParagraph"/>
      </w:pPr>
      <w:r>
        <w:rPr>
          <w:bCs/>
          <w:b/>
        </w:rPr>
        <w:t xml:space="preserve">Evidencia:</w:t>
      </w:r>
      <w:r>
        <w:t xml:space="preserve"> </w:t>
      </w:r>
      <w:r>
        <w:t xml:space="preserve">EV-C204-003, EV-C204-004, EV-C204-005.</w:t>
      </w:r>
    </w:p>
    <w:bookmarkEnd w:id="48"/>
    <w:bookmarkStart w:id="49" w:name="probar-la-app-móvil"/>
    <w:p>
      <w:pPr>
        <w:pStyle w:val="Heading3"/>
      </w:pPr>
      <w:r>
        <w:t xml:space="preserve">8.4 Probar la app móvil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iniciar-app.sh   </w:t>
      </w:r>
      <w:r>
        <w:rPr>
          <w:rStyle w:val="CommentTok"/>
        </w:rPr>
        <w:t xml:space="preserve"># entra a app-movil/, instala y arranca Expo (puerto 8081)</w:t>
      </w:r>
    </w:p>
    <w:p>
      <w:pPr>
        <w:pStyle w:val="FirstParagraph"/>
      </w:pPr>
      <w:r>
        <w:t xml:space="preserve">El puerto 3000 debe estar en</w:t>
      </w:r>
      <w:r>
        <w:t xml:space="preserve"> </w:t>
      </w:r>
      <w:r>
        <w:rPr>
          <w:bCs/>
          <w:b/>
        </w:rPr>
        <w:t xml:space="preserve">Público</w:t>
      </w:r>
      <w:r>
        <w:t xml:space="preserve"> </w:t>
      </w:r>
      <w:r>
        <w:t xml:space="preserve">(Port Visibility → Public) para que la app pueda llamar al servicio. En la app: pegar la URL del puerto 3000, escribir un texto, pulsar</w:t>
      </w:r>
      <w:r>
        <w:t xml:space="preserve"> </w:t>
      </w:r>
      <w:r>
        <w:t xml:space="preserve">“</w:t>
      </w:r>
      <w:r>
        <w:t xml:space="preserve">Cifrar</w:t>
      </w:r>
      <w:r>
        <w:t xml:space="preserve">”</w:t>
      </w:r>
      <w:r>
        <w:t xml:space="preserve"> </w:t>
      </w:r>
      <w:r>
        <w:t xml:space="preserve">y luego</w:t>
      </w:r>
      <w:r>
        <w:t xml:space="preserve"> </w:t>
      </w:r>
      <w:r>
        <w:t xml:space="preserve">“</w:t>
      </w:r>
      <w:r>
        <w:t xml:space="preserve">Descifrar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Evidencia:</w:t>
      </w:r>
      <w:r>
        <w:t xml:space="preserve"> </w:t>
      </w:r>
      <w:r>
        <w:t xml:space="preserve">EV-C204-006 (captura con</w:t>
      </w:r>
      <w:r>
        <w:t xml:space="preserve"> </w:t>
      </w:r>
      <w:r>
        <w:t xml:space="preserve">“</w:t>
      </w:r>
      <w:r>
        <w:t xml:space="preserve">Cifrado OK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Descifrado OK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7" w:name="parte-ii-implementación-y-entorno"/>
    <w:p>
      <w:pPr>
        <w:pStyle w:val="Heading1"/>
      </w:pPr>
      <w:r>
        <w:t xml:space="preserve">PARTE II — IMPLEMENTACIÓN Y ENTORNO</w:t>
      </w:r>
    </w:p>
    <w:p>
      <w:pPr>
        <w:pStyle w:val="BlockText"/>
      </w:pPr>
      <w:r>
        <w:rPr>
          <w:bCs/>
          <w:b/>
        </w:rPr>
        <w:t xml:space="preserve">Nota de trazabilidad:</w:t>
      </w:r>
      <w:r>
        <w:t xml:space="preserve"> </w:t>
      </w:r>
      <w:r>
        <w:t xml:space="preserve">esta parte documenta las</w:t>
      </w:r>
      <w:r>
        <w:t xml:space="preserve"> </w:t>
      </w:r>
      <w:r>
        <w:rPr>
          <w:bCs/>
          <w:b/>
        </w:rPr>
        <w:t xml:space="preserve">decisiones de diseño</w:t>
      </w:r>
      <w:r>
        <w:t xml:space="preserve"> </w:t>
      </w:r>
      <w:r>
        <w:t xml:space="preserve">del módulo de cifrado, las utilidades, la autenticación y el pipeline. El código fuente oficial (con sus vulnerabilidades</w:t>
      </w:r>
      <w:r>
        <w:t xml:space="preserve"> </w:t>
      </w:r>
      <w:r>
        <w:rPr>
          <w:rStyle w:val="VerbatimChar"/>
        </w:rPr>
        <w:t xml:space="preserve">// [VULN-n]</w:t>
      </w:r>
      <w:r>
        <w:t xml:space="preserve">) se integra desde el material del laboratorio; aquí se documenta el diseño seguro de referencia que guía la remediación de la Fase 2.</w:t>
      </w:r>
    </w:p>
    <w:bookmarkStart w:id="55" w:name="Xb44003f4d804ca91c6a4233e131d0388fe1eb79"/>
    <w:p>
      <w:pPr>
        <w:pStyle w:val="Heading2"/>
      </w:pPr>
      <w:r>
        <w:t xml:space="preserve">9. Módulo de encriptación/desencriptación (RSA)</w:t>
      </w:r>
    </w:p>
    <w:bookmarkStart w:id="52" w:name="selección-del-algoritmo-criptográfico"/>
    <w:p>
      <w:pPr>
        <w:pStyle w:val="Heading3"/>
      </w:pPr>
      <w:r>
        <w:t xml:space="preserve">9.1 Selección del algoritmo criptográfico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Cifrado asimétrico estándar; el laboratorio lo fija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Tamaño de llave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2048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recomendado por NIST (SP 800-57); ~112 bits de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OAEP con SHA-256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OAEP es IND-CCA2 seguro; PKCS#1 v1.5 es vulnerable al ataque de oráculo de padding (Bleichenbacher, CWE-780)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Codificación de 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Transporte seguro del texto cifrado (binario → texto)</w:t>
            </w:r>
          </w:p>
        </w:tc>
      </w:tr>
    </w:tbl>
    <w:bookmarkEnd w:id="52"/>
    <w:bookmarkStart w:id="53" w:name="funciones-del-módulo-cifrado.js"/>
    <w:p>
      <w:pPr>
        <w:pStyle w:val="Heading3"/>
      </w:pPr>
      <w:r>
        <w:t xml:space="preserve">9.2 Funciones del módulo (</w:t>
      </w:r>
      <w:r>
        <w:rPr>
          <w:rStyle w:val="VerbatimChar"/>
        </w:rPr>
        <w:t xml:space="preserve">cifrado.js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Comportamiento seguro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generarLlaves()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 (pública, privada)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 RSA-2048; las llaves se guardan fuera del repo (nunca en el código)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cifrar(textoPlano)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cifrado (base64)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 entrada; usa OAEP-SHA256; falla seguro ante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descifrar(textoCifrado)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plano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 entrada; OAEP detecta manipulación (falla con error controlado)</w:t>
            </w:r>
          </w:p>
        </w:tc>
      </w:tr>
    </w:tbl>
    <w:bookmarkEnd w:id="53"/>
    <w:bookmarkStart w:id="54" w:name="Xe060fca36e803a6ba52242daf837f1f551c2bbb"/>
    <w:p>
      <w:pPr>
        <w:pStyle w:val="Heading3"/>
      </w:pPr>
      <w:r>
        <w:t xml:space="preserve">9.3 Diseño seguro de referencia vs. versión vulnerable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insegura (Fase 1, esperada)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seguro (Fase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PKCS#1 v1.5 o sin padding (CWE-780)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OAEP-SHA256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Quemadas en el repo (CWE-798)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de entorno / secretos de GitHub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Validación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Ausente o mínima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Tipo, tamaño y formato validados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 interno en la respuesta (CWE-209)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genérica; detalle en bitácora</w:t>
            </w:r>
          </w:p>
        </w:tc>
      </w:tr>
    </w:tbl>
    <w:p>
      <w:pPr>
        <w:pStyle w:val="BlockText"/>
      </w:pPr>
      <w:r>
        <w:t xml:space="preserve">⚠️ La columna</w:t>
      </w:r>
      <w:r>
        <w:t xml:space="preserve"> </w:t>
      </w:r>
      <w:r>
        <w:t xml:space="preserve">“</w:t>
      </w:r>
      <w:r>
        <w:t xml:space="preserve">versión insegura</w:t>
      </w:r>
      <w:r>
        <w:t xml:space="preserve">”</w:t>
      </w:r>
      <w:r>
        <w:t xml:space="preserve"> </w:t>
      </w:r>
      <w:r>
        <w:t xml:space="preserve">se confirma con el código oficial del zip y los hallazgos reales de la Tabla 3.</w:t>
      </w:r>
    </w:p>
    <w:bookmarkEnd w:id="54"/>
    <w:bookmarkEnd w:id="55"/>
    <w:bookmarkStart w:id="59" w:name="funciones-de-utilidad"/>
    <w:p>
      <w:pPr>
        <w:pStyle w:val="Heading2"/>
      </w:pPr>
      <w:r>
        <w:t xml:space="preserve">10. Funciones de utilidad</w:t>
      </w:r>
    </w:p>
    <w:bookmarkStart w:id="56" w:name="validación-de-entrada"/>
    <w:p>
      <w:pPr>
        <w:pStyle w:val="Heading3"/>
      </w:pPr>
      <w:r>
        <w:t xml:space="preserve">10.1 Validación de entrada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solo cadenas de texto (rechaza números, objetos,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Tamaño:</w:t>
      </w:r>
      <w:r>
        <w:t xml:space="preserve"> </w:t>
      </w:r>
      <w:r>
        <w:t xml:space="preserve">límite superior (rechaza entradas enormes → mitiga DoS, CWE-400).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Contenido:</w:t>
      </w:r>
      <w:r>
        <w:t xml:space="preserve"> </w:t>
      </w:r>
      <w:r>
        <w:t xml:space="preserve">sin caracteres de control problemáticos; codificación UTF-8.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Comportamiento:</w:t>
      </w:r>
      <w:r>
        <w:t xml:space="preserve"> </w:t>
      </w:r>
      <w:r>
        <w:t xml:space="preserve">rechazo con error genérico y código HTTP adecuado (400).</w:t>
      </w:r>
    </w:p>
    <w:bookmarkEnd w:id="56"/>
    <w:bookmarkStart w:id="57" w:name="manejo-de-errores"/>
    <w:p>
      <w:pPr>
        <w:pStyle w:val="Heading3"/>
      </w:pPr>
      <w:r>
        <w:t xml:space="preserve">10.2 Manejo de errores</w:t>
      </w:r>
    </w:p>
    <w:p>
      <w:pPr>
        <w:numPr>
          <w:ilvl w:val="0"/>
          <w:numId w:val="1009"/>
        </w:numPr>
        <w:pStyle w:val="Compact"/>
      </w:pPr>
      <w:r>
        <w:t xml:space="preserve">Respuestas HTTP con mensajes</w:t>
      </w:r>
      <w:r>
        <w:t xml:space="preserve"> </w:t>
      </w:r>
      <w:r>
        <w:rPr>
          <w:bCs/>
          <w:b/>
        </w:rPr>
        <w:t xml:space="preserve">genéricos</w:t>
      </w:r>
      <w:r>
        <w:t xml:space="preserve"> </w:t>
      </w:r>
      <w:r>
        <w:t xml:space="preserve">(</w:t>
      </w:r>
      <w:r>
        <w:rPr>
          <w:rStyle w:val="VerbatimChar"/>
        </w:rPr>
        <w:t xml:space="preserve">{"error":"Error interno"}</w:t>
      </w:r>
      <w:r>
        <w:t xml:space="preserve">) — nunca stack traces ni detalles de implementación (CWE-209).</w:t>
      </w:r>
    </w:p>
    <w:p>
      <w:pPr>
        <w:numPr>
          <w:ilvl w:val="0"/>
          <w:numId w:val="1009"/>
        </w:numPr>
        <w:pStyle w:val="Compact"/>
      </w:pPr>
      <w:r>
        <w:t xml:space="preserve">El detalle técnico se registra en la bitácora del servidor.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Fallo seguro:</w:t>
      </w:r>
      <w:r>
        <w:t xml:space="preserve"> </w:t>
      </w:r>
      <w:r>
        <w:t xml:space="preserve">ante cualquier excepción, la operación falla cerrada (no devuelve datos parciales).</w:t>
      </w:r>
    </w:p>
    <w:bookmarkEnd w:id="57"/>
    <w:bookmarkStart w:id="58" w:name="codificación-y-bitácora"/>
    <w:p>
      <w:pPr>
        <w:pStyle w:val="Heading3"/>
      </w:pPr>
      <w:r>
        <w:t xml:space="preserve">10.3 Codificación y bitácora</w:t>
      </w:r>
    </w:p>
    <w:p>
      <w:pPr>
        <w:numPr>
          <w:ilvl w:val="0"/>
          <w:numId w:val="1010"/>
        </w:numPr>
        <w:pStyle w:val="Compact"/>
      </w:pPr>
      <w:r>
        <w:t xml:space="preserve">Base64 estándar para el texto cifrado.</w:t>
      </w:r>
    </w:p>
    <w:p>
      <w:pPr>
        <w:numPr>
          <w:ilvl w:val="0"/>
          <w:numId w:val="1010"/>
        </w:numPr>
        <w:pStyle w:val="Compact"/>
      </w:pPr>
      <w:r>
        <w:t xml:space="preserve">Bitácora de operaciones (quién, qué, cuándo) para el requisito de</w:t>
      </w:r>
      <w:r>
        <w:t xml:space="preserve"> </w:t>
      </w:r>
      <w:r>
        <w:rPr>
          <w:bCs/>
          <w:b/>
        </w:rPr>
        <w:t xml:space="preserve">no repudio</w:t>
      </w:r>
      <w:r>
        <w:t xml:space="preserve"> </w:t>
      </w:r>
      <w:r>
        <w:t xml:space="preserve">(Tabla 1).</w:t>
      </w:r>
    </w:p>
    <w:bookmarkEnd w:id="58"/>
    <w:bookmarkEnd w:id="59"/>
    <w:bookmarkStart w:id="62" w:name="autenticación-con-keycloak-jwt"/>
    <w:p>
      <w:pPr>
        <w:pStyle w:val="Heading2"/>
      </w:pPr>
      <w:r>
        <w:t xml:space="preserve">11. Autenticación con Keycloak (JWT)</w:t>
      </w:r>
    </w:p>
    <w:bookmarkStart w:id="60" w:name="flujo-de-identidad"/>
    <w:p>
      <w:pPr>
        <w:pStyle w:val="Heading3"/>
      </w:pPr>
      <w:r>
        <w:t xml:space="preserve">11.1 Flujo de identidad</w:t>
      </w:r>
    </w:p>
    <w:p>
      <w:pPr>
        <w:numPr>
          <w:ilvl w:val="0"/>
          <w:numId w:val="1011"/>
        </w:numPr>
        <w:pStyle w:val="Compact"/>
      </w:pPr>
      <w:r>
        <w:t xml:space="preserve">La app móvil solicita un token a Keycloak (realm</w:t>
      </w:r>
      <w:r>
        <w:t xml:space="preserve"> </w:t>
      </w:r>
      <w:r>
        <w:rPr>
          <w:rStyle w:val="VerbatimChar"/>
        </w:rPr>
        <w:t xml:space="preserve">appmovil</w:t>
      </w:r>
      <w:r>
        <w:t xml:space="preserve">, cliente</w:t>
      </w:r>
      <w:r>
        <w:t xml:space="preserve"> </w:t>
      </w:r>
      <w:r>
        <w:rPr>
          <w:rStyle w:val="VerbatimChar"/>
        </w:rPr>
        <w:t xml:space="preserve">servicio-cifrado</w:t>
      </w:r>
      <w:r>
        <w:t xml:space="preserve">, usuario</w:t>
      </w:r>
      <w:r>
        <w:t xml:space="preserve"> </w:t>
      </w:r>
      <w:r>
        <w:rPr>
          <w:rStyle w:val="VerbatimChar"/>
        </w:rPr>
        <w:t xml:space="preserve">demo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t xml:space="preserve">La app envía el token en el encabezado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El servicio valida el token en</w:t>
      </w:r>
      <w:r>
        <w:t xml:space="preserve"> </w:t>
      </w:r>
      <w:r>
        <w:rPr>
          <w:rStyle w:val="VerbatimChar"/>
        </w:rPr>
        <w:t xml:space="preserve">auth.js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cifrar/descifrar.</w:t>
      </w:r>
    </w:p>
    <w:p>
      <w:pPr>
        <w:numPr>
          <w:ilvl w:val="0"/>
          <w:numId w:val="1011"/>
        </w:numPr>
        <w:pStyle w:val="Compact"/>
      </w:pPr>
      <w:r>
        <w:t xml:space="preserve">Token válido → 200 OK; token inválido/ausente → 401.</w:t>
      </w:r>
    </w:p>
    <w:bookmarkEnd w:id="60"/>
    <w:bookmarkStart w:id="61" w:name="validación-del-token-diseño-seguro"/>
    <w:p>
      <w:pPr>
        <w:pStyle w:val="Heading3"/>
      </w:pPr>
      <w:r>
        <w:t xml:space="preserve">11.2 Validación del token (diseño seguro)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valida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token fue emitido por Keycloak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jwt.verify()</w:t>
            </w:r>
            <w:r>
              <w:t xml:space="preserve"> </w:t>
            </w:r>
            <w:r>
              <w:t xml:space="preserve">con la clave pública (JWKS)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</w:t>
            </w:r>
            <w:r>
              <w:t xml:space="preserve"> </w:t>
            </w:r>
            <w:r>
              <w:rPr>
                <w:rStyle w:val="VerbatimChar"/>
              </w:rPr>
              <w:t xml:space="preserve">RS256</w:t>
            </w:r>
            <w:r>
              <w:t xml:space="preserve"> </w:t>
            </w:r>
            <w:r>
              <w:t xml:space="preserve">(evita confusión de algoritmo)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algorithms: ['RS256']</w:t>
            </w:r>
            <w:r>
              <w:t xml:space="preserve"> </w:t>
            </w:r>
            <w:r>
              <w:t xml:space="preserve">explícito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token no está vencido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token viene del realm correcto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 </w:t>
            </w:r>
            <w:r>
              <w:t xml:space="preserve">= realm</w:t>
            </w:r>
            <w:r>
              <w:t xml:space="preserve"> </w:t>
            </w:r>
            <w:r>
              <w:rPr>
                <w:rStyle w:val="VerbatimChar"/>
              </w:rPr>
              <w:t xml:space="preserve">appmovil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token es para este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  <w:r>
              <w:t xml:space="preserve"> </w:t>
            </w:r>
            <w:r>
              <w:rPr>
                <w:rStyle w:val="VerbatimChar"/>
              </w:rPr>
              <w:t xml:space="preserve">aud</w:t>
            </w:r>
            <w:r>
              <w:t xml:space="preserve"> </w:t>
            </w:r>
            <w:r>
              <w:t xml:space="preserve">= cliente</w:t>
            </w:r>
            <w:r>
              <w:t xml:space="preserve"> </w:t>
            </w:r>
            <w:r>
              <w:rPr>
                <w:rStyle w:val="VerbatimChar"/>
              </w:rPr>
              <w:t xml:space="preserve">servicio-cifrado</w:t>
            </w:r>
          </w:p>
        </w:tc>
      </w:tr>
    </w:tbl>
    <w:p>
      <w:pPr>
        <w:pStyle w:val="BlockText"/>
      </w:pPr>
      <w:r>
        <w:t xml:space="preserve">⚠️ La versión vulnerable esperada valida mal el token (por ejemplo, solo</w:t>
      </w:r>
      <w:r>
        <w:t xml:space="preserve"> </w:t>
      </w:r>
      <w:r>
        <w:rPr>
          <w:rStyle w:val="VerbatimChar"/>
        </w:rPr>
        <w:t xml:space="preserve">jwt.decode()</w:t>
      </w:r>
      <w:r>
        <w:t xml:space="preserve"> </w:t>
      </w:r>
      <w:r>
        <w:t xml:space="preserve">sin verificar firma, o sin revisar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iss</w:t>
      </w:r>
      <w:r>
        <w:t xml:space="preserve">). La corrección sigue el</w:t>
      </w:r>
      <w:r>
        <w:t xml:space="preserve"> </w:t>
      </w:r>
      <w:r>
        <w:rPr>
          <w:bCs/>
          <w:b/>
        </w:rPr>
        <w:t xml:space="preserve">Patrón 4</w:t>
      </w:r>
      <w:r>
        <w:t xml:space="preserve"> </w:t>
      </w:r>
      <w:r>
        <w:t xml:space="preserve">del playbook de remediación.</w:t>
      </w:r>
    </w:p>
    <w:bookmarkEnd w:id="61"/>
    <w:bookmarkEnd w:id="62"/>
    <w:bookmarkStart w:id="66" w:name="pipeline-devsecops-las-6-pruebas"/>
    <w:p>
      <w:pPr>
        <w:pStyle w:val="Heading2"/>
      </w:pPr>
      <w:r>
        <w:t xml:space="preserve">12. Pipeline DevSecOps (las 6 pruebas)</w:t>
      </w:r>
    </w:p>
    <w:bookmarkStart w:id="63" w:name="diseño-del-pipeline"/>
    <w:p>
      <w:pPr>
        <w:pStyle w:val="Heading3"/>
      </w:pPr>
      <w:r>
        <w:t xml:space="preserve">12.1 Diseño del pipeline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revisa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sast_semgrep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eval, inyección, JWT, CORS, errores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Semgrep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sast_codeql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con motor de GitHub (requiere repo público)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en Code scanning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Claves y contraseñas quemadas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Gitleaks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audit + Trivy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Dependencias vulnerables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Trivy + Syft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Fallas de imagen; SBOM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 ZAP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Cabeceras, CORS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reporte-zap</w:t>
            </w:r>
          </w:p>
        </w:tc>
      </w:tr>
    </w:tbl>
    <w:bookmarkEnd w:id="63"/>
    <w:bookmarkStart w:id="64" w:name="comportamiento-por-fase"/>
    <w:p>
      <w:pPr>
        <w:pStyle w:val="Heading3"/>
      </w:pPr>
      <w:r>
        <w:t xml:space="preserve">12.2 Comportamiento por fase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Fase 1:</w:t>
      </w:r>
      <w:r>
        <w:t xml:space="preserve"> </w:t>
      </w:r>
      <w:r>
        <w:t xml:space="preserve">los jobs sast_semgrep, secretos, sca e imagen</w:t>
      </w:r>
      <w:r>
        <w:t xml:space="preserve"> </w:t>
      </w:r>
      <w:r>
        <w:rPr>
          <w:bCs/>
          <w:b/>
        </w:rPr>
        <w:t xml:space="preserve">fallan</w:t>
      </w:r>
      <w:r>
        <w:t xml:space="preserve"> </w:t>
      </w:r>
      <w:r>
        <w:t xml:space="preserve">(rojo) por las vulnerabilidades del código; CodeQL genera alertas (no falla el job); ZAP produce el informe de cabeceras/CORS.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Fase 2:</w:t>
      </w:r>
      <w:r>
        <w:t xml:space="preserve"> </w:t>
      </w:r>
      <w:r>
        <w:t xml:space="preserve">tras cada corrección (un commit por hallazgo), el job correspondiente pasa a</w:t>
      </w:r>
      <w:r>
        <w:t xml:space="preserve"> </w:t>
      </w:r>
      <w:r>
        <w:rPr>
          <w:bCs/>
          <w:b/>
        </w:rPr>
        <w:t xml:space="preserve">verde</w:t>
      </w:r>
      <w:r>
        <w:t xml:space="preserve">; al final, 6/6 en verde y las alertas de CodeQL revisadas.</w:t>
      </w:r>
    </w:p>
    <w:bookmarkEnd w:id="64"/>
    <w:bookmarkStart w:id="65" w:name="configuración-del-workflow"/>
    <w:p>
      <w:pPr>
        <w:pStyle w:val="Heading3"/>
      </w:pPr>
      <w:r>
        <w:t xml:space="preserve">12.3 Configuración del workflow</w:t>
      </w:r>
    </w:p>
    <w:p>
      <w:pPr>
        <w:numPr>
          <w:ilvl w:val="0"/>
          <w:numId w:val="1013"/>
        </w:numPr>
        <w:pStyle w:val="Compact"/>
      </w:pPr>
      <w:r>
        <w:t xml:space="preserve">Se ejecuta en cada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(y en PRs).</w:t>
      </w:r>
    </w:p>
    <w:p>
      <w:pPr>
        <w:numPr>
          <w:ilvl w:val="0"/>
          <w:numId w:val="1013"/>
        </w:numPr>
        <w:pStyle w:val="Compact"/>
      </w:pPr>
      <w:r>
        <w:t xml:space="preserve">Los reportes se suben como</w:t>
      </w:r>
      <w:r>
        <w:t xml:space="preserve"> </w:t>
      </w:r>
      <w:r>
        <w:rPr>
          <w:bCs/>
          <w:b/>
        </w:rPr>
        <w:t xml:space="preserve">artifacts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actions/upload-artifact</w:t>
      </w:r>
      <w:r>
        <w:t xml:space="preserve">) para descargarlos como evidencia.</w:t>
      </w:r>
    </w:p>
    <w:p>
      <w:pPr>
        <w:numPr>
          <w:ilvl w:val="0"/>
          <w:numId w:val="1013"/>
        </w:numPr>
        <w:pStyle w:val="Compact"/>
      </w:pPr>
      <w:r>
        <w:t xml:space="preserve">El workflow provisional está en</w:t>
      </w:r>
      <w:r>
        <w:t xml:space="preserve"> </w:t>
      </w:r>
      <w:r>
        <w:rPr>
          <w:rStyle w:val="VerbatimChar"/>
        </w:rPr>
        <w:t xml:space="preserve">.github/workflows/devsecops.yml</w:t>
      </w:r>
      <w:r>
        <w:t xml:space="preserve">; se reemplaza por la versión oficial del zip cuando esté disponible.</w:t>
      </w:r>
    </w:p>
    <w:p>
      <w:r>
        <w:pict>
          <v:rect style="width:0;height:1.5pt" o:hralign="center" o:hrstd="t" o:hr="t"/>
        </w:pict>
      </w:r>
    </w:p>
    <w:bookmarkEnd w:id="65"/>
    <w:bookmarkEnd w:id="66"/>
    <w:bookmarkEnd w:id="67"/>
    <w:bookmarkStart w:id="74" w:name="parte-iii-diagnóstico-y-remediación"/>
    <w:p>
      <w:pPr>
        <w:pStyle w:val="Heading1"/>
      </w:pPr>
      <w:r>
        <w:t xml:space="preserve">PARTE III — DIAGNÓSTICO Y REMEDIACIÓN</w:t>
      </w:r>
    </w:p>
    <w:bookmarkStart w:id="69" w:name="fase-1-diagnóstico-pipeline-en-rojo"/>
    <w:p>
      <w:pPr>
        <w:pStyle w:val="Heading2"/>
      </w:pPr>
      <w:r>
        <w:t xml:space="preserve">13. Fase 1 — Diagnóstico (pipeline en rojo)</w:t>
      </w:r>
    </w:p>
    <w:p>
      <w:pPr>
        <w:pStyle w:val="FirstParagraph"/>
      </w:pPr>
      <w:r>
        <w:rPr>
          <w:iCs/>
          <w:i/>
        </w:rPr>
        <w:t xml:space="preserve">(Pendiente de ejecución — se documenta cuando el zip esté integrado y el pipeline corra.)</w:t>
      </w:r>
    </w:p>
    <w:p>
      <w:pPr>
        <w:pStyle w:val="BodyText"/>
      </w:pPr>
      <w:r>
        <w:rPr>
          <w:bCs/>
          <w:b/>
        </w:rPr>
        <w:t xml:space="preserve">Evidencia:</w:t>
      </w:r>
      <w:r>
        <w:t xml:space="preserve"> </w:t>
      </w:r>
      <w:r>
        <w:t xml:space="preserve">EV-C204-007 (jobs en rojo), EV-C204-008 a EV-C204-012 (reportes).</w:t>
      </w:r>
    </w:p>
    <w:p>
      <w:pPr>
        <w:pStyle w:val="BlockText"/>
      </w:pPr>
      <w:r>
        <w:t xml:space="preserve">Ver</w:t>
      </w:r>
      <w:r>
        <w:t xml:space="preserve"> </w:t>
      </w:r>
      <w:r>
        <w:rPr>
          <w:bCs/>
          <w:b/>
        </w:rPr>
        <w:t xml:space="preserve">Tabla 3</w:t>
      </w:r>
      <w:r>
        <w:t xml:space="preserve"> </w:t>
      </w:r>
      <w:r>
        <w:t xml:space="preserve">completa en</w:t>
      </w:r>
      <w:r>
        <w:t xml:space="preserve"> </w:t>
      </w:r>
      <w:hyperlink r:id="rId68">
        <w:r>
          <w:rPr>
            <w:rStyle w:val="VerbatimChar"/>
          </w:rPr>
          <w:t xml:space="preserve">docs/tablas/tabla-3-diagnostico.md</w:t>
        </w:r>
      </w:hyperlink>
    </w:p>
    <w:bookmarkEnd w:id="69"/>
    <w:bookmarkStart w:id="72" w:name="fase-2-remediación-de-rojo-a-verde"/>
    <w:p>
      <w:pPr>
        <w:pStyle w:val="Heading2"/>
      </w:pPr>
      <w:r>
        <w:t xml:space="preserve">14. Fase 2 — Remediación (de rojo a verde)</w:t>
      </w:r>
    </w:p>
    <w:p>
      <w:pPr>
        <w:pStyle w:val="FirstParagraph"/>
      </w:pPr>
      <w:r>
        <w:rPr>
          <w:iCs/>
          <w:i/>
        </w:rPr>
        <w:t xml:space="preserve">(Pendiente de ejecución — el playbook de remediación está en</w:t>
      </w:r>
      <w:r>
        <w:rPr>
          <w:iCs/>
          <w:i/>
        </w:rPr>
        <w:t xml:space="preserve"> </w:t>
      </w:r>
      <w:hyperlink r:id="rId70">
        <w:r>
          <w:rPr>
            <w:rStyle w:val="VerbatimChar"/>
            <w:iCs/>
            <w:i/>
          </w:rPr>
          <w:t xml:space="preserve">docs/remediacion-playbook.md</w:t>
        </w:r>
      </w:hyperlink>
      <w:r>
        <w:rPr>
          <w:iCs/>
          <w:i/>
        </w:rPr>
        <w:t xml:space="preserve">.)</w:t>
      </w:r>
    </w:p>
    <w:p>
      <w:pPr>
        <w:pStyle w:val="BlockText"/>
      </w:pPr>
      <w:r>
        <w:t xml:space="preserve">Ver</w:t>
      </w:r>
      <w:r>
        <w:t xml:space="preserve"> </w:t>
      </w:r>
      <w:r>
        <w:rPr>
          <w:bCs/>
          <w:b/>
        </w:rPr>
        <w:t xml:space="preserve">Tabla 4</w:t>
      </w:r>
      <w:r>
        <w:t xml:space="preserve"> </w:t>
      </w:r>
      <w:r>
        <w:t xml:space="preserve">completa en</w:t>
      </w:r>
      <w:r>
        <w:t xml:space="preserve"> </w:t>
      </w:r>
      <w:hyperlink r:id="rId71">
        <w:r>
          <w:rPr>
            <w:rStyle w:val="VerbatimChar"/>
          </w:rPr>
          <w:t xml:space="preserve">docs/tablas/tabla-4-evidencias.md</w:t>
        </w:r>
      </w:hyperlink>
    </w:p>
    <w:bookmarkEnd w:id="72"/>
    <w:bookmarkStart w:id="73" w:name="protección-de-la-rama-principal"/>
    <w:p>
      <w:pPr>
        <w:pStyle w:val="Heading2"/>
      </w:pPr>
      <w:r>
        <w:t xml:space="preserve">15. Protección de la rama principal</w:t>
      </w:r>
    </w:p>
    <w:p>
      <w:pPr>
        <w:pStyle w:val="FirstParagraph"/>
      </w:pPr>
      <w:r>
        <w:rPr>
          <w:iCs/>
          <w:i/>
        </w:rPr>
        <w:t xml:space="preserve">(Pendiente — branch protection 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main</w:t>
      </w:r>
      <w:r>
        <w:rPr>
          <w:iCs/>
          <w:i/>
        </w:rPr>
        <w:t xml:space="preserve">: requerir PR con revisión y status checks de los 6 jobs.)</w:t>
      </w:r>
    </w:p>
    <w:p>
      <w:pPr>
        <w:pStyle w:val="BodyText"/>
      </w:pPr>
      <w:r>
        <w:rPr>
          <w:bCs/>
          <w:b/>
        </w:rPr>
        <w:t xml:space="preserve">Evidencia:</w:t>
      </w:r>
      <w:r>
        <w:t xml:space="preserve"> </w:t>
      </w:r>
      <w:r>
        <w:t xml:space="preserve">EV-C204-014.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1" w:name="parte-iv-pruebas-y-riesgos"/>
    <w:p>
      <w:pPr>
        <w:pStyle w:val="Heading1"/>
      </w:pPr>
      <w:r>
        <w:t xml:space="preserve">PARTE IV — PRUEBAS Y RIESGOS</w:t>
      </w:r>
    </w:p>
    <w:bookmarkStart w:id="76" w:name="cálculo-de-riesgo"/>
    <w:p>
      <w:pPr>
        <w:pStyle w:val="Heading2"/>
      </w:pPr>
      <w:r>
        <w:t xml:space="preserve">16. Cálculo de riesgo</w:t>
      </w:r>
    </w:p>
    <w:p>
      <w:pPr>
        <w:pStyle w:val="BlockText"/>
      </w:pPr>
      <w:r>
        <w:t xml:space="preserve">Ver</w:t>
      </w:r>
      <w:r>
        <w:t xml:space="preserve"> </w:t>
      </w:r>
      <w:r>
        <w:rPr>
          <w:bCs/>
          <w:b/>
        </w:rPr>
        <w:t xml:space="preserve">Tabla 5</w:t>
      </w:r>
      <w:r>
        <w:t xml:space="preserve"> </w:t>
      </w:r>
      <w:r>
        <w:t xml:space="preserve">completa en</w:t>
      </w:r>
      <w:r>
        <w:t xml:space="preserve"> </w:t>
      </w:r>
      <w:hyperlink r:id="rId75">
        <w:r>
          <w:rPr>
            <w:rStyle w:val="VerbatimChar"/>
          </w:rPr>
          <w:t xml:space="preserve">docs/tablas/tabla-5-riesgo.md</w:t>
        </w:r>
      </w:hyperlink>
    </w:p>
    <w:p>
      <w:pPr>
        <w:pStyle w:val="FirstParagraph"/>
      </w:pPr>
      <w:r>
        <w:t xml:space="preserve">Riesgo = Probabilidad × Impacto (escala 1–3), con análisis gerencial ALE.</w:t>
      </w:r>
    </w:p>
    <w:bookmarkEnd w:id="76"/>
    <w:bookmarkStart w:id="78" w:name="documentación-de-pruebas"/>
    <w:p>
      <w:pPr>
        <w:pStyle w:val="Heading2"/>
      </w:pPr>
      <w:r>
        <w:t xml:space="preserve">17. Documentación de pruebas</w:t>
      </w:r>
    </w:p>
    <w:p>
      <w:pPr>
        <w:pStyle w:val="BlockText"/>
      </w:pPr>
      <w:r>
        <w:t xml:space="preserve">Ver</w:t>
      </w:r>
      <w:r>
        <w:t xml:space="preserve"> </w:t>
      </w:r>
      <w:r>
        <w:rPr>
          <w:bCs/>
          <w:b/>
        </w:rPr>
        <w:t xml:space="preserve">Tabla 6</w:t>
      </w:r>
      <w:r>
        <w:t xml:space="preserve"> </w:t>
      </w:r>
      <w:r>
        <w:t xml:space="preserve">completa en</w:t>
      </w:r>
      <w:r>
        <w:t xml:space="preserve"> </w:t>
      </w:r>
      <w:hyperlink r:id="rId77">
        <w:r>
          <w:rPr>
            <w:rStyle w:val="VerbatimChar"/>
          </w:rPr>
          <w:t xml:space="preserve">docs/tablas/tabla-6-pruebas.md</w:t>
        </w:r>
      </w:hyperlink>
    </w:p>
    <w:bookmarkEnd w:id="78"/>
    <w:bookmarkStart w:id="80" w:name="plantilla-de-diagnóstico-del-curso"/>
    <w:p>
      <w:pPr>
        <w:pStyle w:val="Heading2"/>
      </w:pPr>
      <w:r>
        <w:t xml:space="preserve">18. Plantilla de diagnóstico del curso</w:t>
      </w:r>
    </w:p>
    <w:p>
      <w:pPr>
        <w:pStyle w:val="BlockText"/>
      </w:pPr>
      <w:r>
        <w:t xml:space="preserve">Ver</w:t>
      </w:r>
      <w:r>
        <w:t xml:space="preserve"> </w:t>
      </w:r>
      <w:hyperlink r:id="rId79">
        <w:r>
          <w:rPr>
            <w:rStyle w:val="VerbatimChar"/>
          </w:rPr>
          <w:t xml:space="preserve">docs/plantilla-diagnostico.md</w:t>
        </w:r>
      </w:hyperlink>
    </w:p>
    <w:p>
      <w:r>
        <w:pict>
          <v:rect style="width:0;height:1.5pt" o:hralign="center" o:hrstd="t" o:hr="t"/>
        </w:pict>
      </w:r>
    </w:p>
    <w:bookmarkEnd w:id="80"/>
    <w:bookmarkEnd w:id="81"/>
    <w:bookmarkStart w:id="94" w:name="parte-v-cierre-académico"/>
    <w:p>
      <w:pPr>
        <w:pStyle w:val="Heading1"/>
      </w:pPr>
      <w:r>
        <w:t xml:space="preserve">PARTE V — CIERRE ACADÉMICO</w:t>
      </w:r>
    </w:p>
    <w:bookmarkStart w:id="82" w:name="resumen-de-resultados"/>
    <w:p>
      <w:pPr>
        <w:pStyle w:val="Heading2"/>
      </w:pPr>
      <w:r>
        <w:t xml:space="preserve">19. Resumen de resultados</w:t>
      </w:r>
    </w:p>
    <w:p>
      <w:pPr>
        <w:pStyle w:val="FirstParagraph"/>
      </w:pPr>
      <w:r>
        <w:rPr>
          <w:iCs/>
          <w:i/>
        </w:rPr>
        <w:t xml:space="preserve">(Pendiente — vulnerabilidades identificadas, riesgos asociados y efectividad de las medidas.)</w:t>
      </w:r>
    </w:p>
    <w:bookmarkEnd w:id="82"/>
    <w:bookmarkStart w:id="83" w:name="conclusiones"/>
    <w:p>
      <w:pPr>
        <w:pStyle w:val="Heading2"/>
      </w:pPr>
      <w:r>
        <w:t xml:space="preserve">20. Conclusiones</w:t>
      </w:r>
    </w:p>
    <w:p>
      <w:pPr>
        <w:pStyle w:val="FirstParagraph"/>
      </w:pPr>
      <w:r>
        <w:rPr>
          <w:iCs/>
          <w:i/>
        </w:rPr>
        <w:t xml:space="preserve">(Pendiente — evaluación de la seguridad y lecciones aprendidas del ciclo DevSecOps.)</w:t>
      </w:r>
    </w:p>
    <w:bookmarkEnd w:id="83"/>
    <w:bookmarkStart w:id="84" w:name="recomendaciones"/>
    <w:p>
      <w:pPr>
        <w:pStyle w:val="Heading2"/>
      </w:pPr>
      <w:r>
        <w:t xml:space="preserve">21. Recomendaciones</w:t>
      </w:r>
    </w:p>
    <w:p>
      <w:pPr>
        <w:pStyle w:val="FirstParagraph"/>
      </w:pPr>
      <w:r>
        <w:rPr>
          <w:iCs/>
          <w:i/>
        </w:rPr>
        <w:t xml:space="preserve">(Pendiente — medidas adicionales: rotación de llaves, TLS, rate limiting, monitoreo, Dependabot, política SCA.)</w:t>
      </w:r>
    </w:p>
    <w:bookmarkEnd w:id="84"/>
    <w:bookmarkStart w:id="85" w:name="referencias"/>
    <w:p>
      <w:pPr>
        <w:pStyle w:val="Heading2"/>
      </w:pPr>
      <w:r>
        <w:t xml:space="preserve">22. Referencias</w:t>
      </w:r>
    </w:p>
    <w:p>
      <w:pPr>
        <w:numPr>
          <w:ilvl w:val="0"/>
          <w:numId w:val="1014"/>
        </w:numPr>
        <w:pStyle w:val="Compact"/>
      </w:pPr>
      <w:r>
        <w:t xml:space="preserve">Helfrich, J. (2019).</w:t>
      </w:r>
      <w:r>
        <w:t xml:space="preserve"> </w:t>
      </w:r>
      <w:r>
        <w:rPr>
          <w:iCs/>
          <w:i/>
        </w:rPr>
        <w:t xml:space="preserve">Security for Software Engineers</w:t>
      </w:r>
      <w:r>
        <w:t xml:space="preserve">. Taylor &amp; Francis Group.</w:t>
      </w:r>
    </w:p>
    <w:p>
      <w:pPr>
        <w:numPr>
          <w:ilvl w:val="0"/>
          <w:numId w:val="1014"/>
        </w:numPr>
        <w:pStyle w:val="Compact"/>
      </w:pPr>
      <w:r>
        <w:t xml:space="preserve">Johnsson, D., Deogun, D. y Sawano, D. (2019).</w:t>
      </w:r>
      <w:r>
        <w:t xml:space="preserve"> </w:t>
      </w:r>
      <w:r>
        <w:rPr>
          <w:iCs/>
          <w:i/>
        </w:rPr>
        <w:t xml:space="preserve">Secure by Design</w:t>
      </w:r>
      <w:r>
        <w:t xml:space="preserve">. Manning Publications.</w:t>
      </w:r>
    </w:p>
    <w:p>
      <w:pPr>
        <w:numPr>
          <w:ilvl w:val="0"/>
          <w:numId w:val="1014"/>
        </w:numPr>
        <w:pStyle w:val="Compact"/>
      </w:pPr>
      <w:r>
        <w:t xml:space="preserve">Hoffman, A. (2020).</w:t>
      </w:r>
      <w:r>
        <w:t xml:space="preserve"> </w:t>
      </w:r>
      <w:r>
        <w:rPr>
          <w:iCs/>
          <w:i/>
        </w:rPr>
        <w:t xml:space="preserve">Web Application Security: Exploitation and countermeasures for modern web applications</w:t>
      </w:r>
      <w:r>
        <w:t xml:space="preserve">. O’Reilly Media.</w:t>
      </w:r>
    </w:p>
    <w:p>
      <w:pPr>
        <w:numPr>
          <w:ilvl w:val="0"/>
          <w:numId w:val="1014"/>
        </w:numPr>
        <w:pStyle w:val="Compact"/>
      </w:pPr>
      <w:r>
        <w:t xml:space="preserve">NIST. (2021).</w:t>
      </w:r>
      <w:r>
        <w:t xml:space="preserve"> </w:t>
      </w:r>
      <w:r>
        <w:rPr>
          <w:iCs/>
          <w:i/>
        </w:rPr>
        <w:t xml:space="preserve">Secure Software Development Framework (SSDF), SP 800-218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OWASP.</w:t>
      </w:r>
      <w:r>
        <w:t xml:space="preserve"> </w:t>
      </w:r>
      <w:r>
        <w:rPr>
          <w:iCs/>
          <w:i/>
        </w:rPr>
        <w:t xml:space="preserve">Software Assurance Maturity Model (SAMM)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OWASP.</w:t>
      </w:r>
      <w:r>
        <w:t xml:space="preserve"> </w:t>
      </w:r>
      <w:r>
        <w:rPr>
          <w:iCs/>
          <w:i/>
        </w:rPr>
        <w:t xml:space="preserve">Application Security Verification Standard (ASVS)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OWASP.</w:t>
      </w:r>
      <w:r>
        <w:t xml:space="preserve"> </w:t>
      </w:r>
      <w:r>
        <w:rPr>
          <w:iCs/>
          <w:i/>
        </w:rPr>
        <w:t xml:space="preserve">Mobile Application Security Verification Standard (MASVS)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Microsoft.</w:t>
      </w:r>
      <w:r>
        <w:t xml:space="preserve"> </w:t>
      </w:r>
      <w:r>
        <w:rPr>
          <w:iCs/>
          <w:i/>
        </w:rPr>
        <w:t xml:space="preserve">STRIDE threat model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MITRE.</w:t>
      </w:r>
      <w:r>
        <w:t xml:space="preserve"> </w:t>
      </w:r>
      <w:r>
        <w:rPr>
          <w:iCs/>
          <w:i/>
        </w:rPr>
        <w:t xml:space="preserve">Common Weakness Enumeration (CWE)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anexos"/>
    <w:p>
      <w:pPr>
        <w:pStyle w:val="Heading2"/>
      </w:pPr>
      <w:r>
        <w:t xml:space="preserve">Anexos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Anexo A:</w:t>
      </w:r>
      <w:r>
        <w:t xml:space="preserve"> </w:t>
      </w:r>
      <w:r>
        <w:t xml:space="preserve">Tablas 1–6 completas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Anexo B:</w:t>
      </w:r>
      <w:r>
        <w:t xml:space="preserve"> </w:t>
      </w:r>
      <w:r>
        <w:t xml:space="preserve">Reportes del pipeline (Semgrep, Gitleaks, SBOM, ZAP, CodeQL)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Anexo C:</w:t>
      </w:r>
      <w:r>
        <w:t xml:space="preserve"> </w:t>
      </w:r>
      <w:r>
        <w:t xml:space="preserve">Manifiesto SHA-256 de evidencias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Anexo D:</w:t>
      </w:r>
      <w:r>
        <w:t xml:space="preserve"> </w:t>
      </w:r>
      <w:r>
        <w:t xml:space="preserve">Historial de versiones del repositorio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Anexo E:</w:t>
      </w:r>
      <w:r>
        <w:t xml:space="preserve"> </w:t>
      </w:r>
      <w:r>
        <w:t xml:space="preserve">Cronograma del proyecto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Anexo F:</w:t>
      </w:r>
      <w:r>
        <w:t xml:space="preserve"> </w:t>
      </w:r>
      <w:r>
        <w:t xml:space="preserve">Guía de lectura (evidencias, siglas y archivos)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Anexo G:</w:t>
      </w:r>
      <w:r>
        <w:t xml:space="preserve"> </w:t>
      </w:r>
      <w:r>
        <w:t xml:space="preserve">Glosario y convenciones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Anexo H:</w:t>
      </w:r>
      <w:r>
        <w:t xml:space="preserve"> </w:t>
      </w:r>
      <w:r>
        <w:t xml:space="preserve">Nota de transparencia IA</w:t>
      </w:r>
    </w:p>
    <w:p>
      <w:r>
        <w:pict>
          <v:rect style="width:0;height:1.5pt" o:hralign="center" o:hrstd="t" o:hr="t"/>
        </w:pict>
      </w:r>
    </w:p>
    <w:bookmarkEnd w:id="86"/>
    <w:bookmarkStart w:id="87" w:name="anexo-e-cronograma-del-proyecto"/>
    <w:p>
      <w:pPr>
        <w:pStyle w:val="Heading2"/>
      </w:pPr>
      <w:r>
        <w:t xml:space="preserve">Anexo E — Cronograma del proyecto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Lectura de la guía y la rúbrica; creación del 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+ 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del curso, plan de acción, validación de objetivos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Primer Avance (10%)</w:t>
            </w:r>
            <w:r>
              <w:t xml:space="preserve">: contexto, diseño, Tablas 1–2, entorno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Parte I–II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(sin zip)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del material oficial; Fase 1 (pipeline en rojo)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3 + reportes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espera 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2: remediación (un commit por hallazgo)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4 + pipeline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Pentest, riesgos (Tabla 5), pruebas (Tabla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Tablas 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Segundo Avance (15%)</w:t>
            </w:r>
            <w:r>
              <w:t xml:space="preserve">: diagnóstico, remediación,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Parte III–IV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Protección de rama, revisión de CodeQL, informe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Parte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Informe Final (15%)</w:t>
            </w:r>
            <w:r>
              <w:t xml:space="preserve">: PDF integrado + repo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91" w:name="X97195745177c874f01ad80e4dce35521f49f2f2"/>
    <w:p>
      <w:pPr>
        <w:pStyle w:val="Heading2"/>
      </w:pPr>
      <w:r>
        <w:t xml:space="preserve">Anexo F — Guía de lectura (evidencias, siglas y archivos)</w:t>
      </w:r>
    </w:p>
    <w:bookmarkStart w:id="88" w:name="sistema-de-evidencias"/>
    <w:p>
      <w:pPr>
        <w:pStyle w:val="Heading3"/>
      </w:pPr>
      <w:r>
        <w:t xml:space="preserve">Sistema de evidencias</w:t>
      </w:r>
    </w:p>
    <w:p>
      <w:pPr>
        <w:pStyle w:val="FirstParagraph"/>
      </w:pPr>
      <w:r>
        <w:t xml:space="preserve">Cada evidencia tiene un ID único</w:t>
      </w:r>
      <w:r>
        <w:t xml:space="preserve"> </w:t>
      </w:r>
      <w:r>
        <w:rPr>
          <w:bCs/>
          <w:b/>
        </w:rPr>
        <w:t xml:space="preserve">EV-C204-XXX</w:t>
      </w:r>
      <w:r>
        <w:t xml:space="preserve"> </w:t>
      </w:r>
      <w:r>
        <w:t xml:space="preserve">(ver índice de evidencias, sección inicial). Las evidencias de captura viven en</w:t>
      </w:r>
      <w:r>
        <w:t xml:space="preserve"> </w:t>
      </w:r>
      <w:r>
        <w:rPr>
          <w:rStyle w:val="VerbatimChar"/>
        </w:rPr>
        <w:t xml:space="preserve">docs/evidencias/capturas/</w:t>
      </w:r>
      <w:r>
        <w:t xml:space="preserve"> </w:t>
      </w:r>
      <w:r>
        <w:t xml:space="preserve">y las figuras en</w:t>
      </w:r>
      <w:r>
        <w:t xml:space="preserve"> </w:t>
      </w:r>
      <w:r>
        <w:rPr>
          <w:rStyle w:val="VerbatimChar"/>
        </w:rPr>
        <w:t xml:space="preserve">docs/evidencias/figuras/</w:t>
      </w:r>
      <w:r>
        <w:t xml:space="preserve">. El manifiesto</w:t>
      </w:r>
      <w:r>
        <w:t xml:space="preserve"> </w:t>
      </w:r>
      <w:r>
        <w:rPr>
          <w:rStyle w:val="VerbatimChar"/>
        </w:rPr>
        <w:t xml:space="preserve">docs/evidencias/manifiesto-sha256.txt</w:t>
      </w:r>
      <w:r>
        <w:t xml:space="preserve"> </w:t>
      </w:r>
      <w:r>
        <w:t xml:space="preserve">registra el hash SHA-256 de cada archivo de evidencia para garantizar integridad.</w:t>
      </w:r>
    </w:p>
    <w:bookmarkEnd w:id="88"/>
    <w:bookmarkStart w:id="89" w:name="siglas-usadas"/>
    <w:p>
      <w:pPr>
        <w:pStyle w:val="Heading3"/>
      </w:pPr>
      <w:r>
        <w:t xml:space="preserve">Siglas usadas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Application Security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Application Security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Composition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Bill of Materials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Access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 Asymmetric Encryption Padding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Weakness Enumeration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Spoofing, Tampering, Repudiation, Information disclosure, DoS, Elevation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Loss Expectancy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 / 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Loss Expectancy / Annualized Rate of Occurrence</w:t>
            </w:r>
          </w:p>
        </w:tc>
      </w:tr>
    </w:tbl>
    <w:bookmarkEnd w:id="89"/>
    <w:bookmarkStart w:id="90" w:name="archivos-clave"/>
    <w:p>
      <w:pPr>
        <w:pStyle w:val="Heading3"/>
      </w:pPr>
      <w:r>
        <w:t xml:space="preserve">Archivos clave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docs/informe-maestro.md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integrado (este documento)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docs/tablas/tabla-1..6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Tablas de entrega del laboratorio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docs/validacion-objetivos.md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 objetivos → dónde → cómo excede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docs/remediacion-playbook.md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Correcciones de la Fase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.github/workflows/devsecops.yml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de 6 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.devcontainer/devcontainer.json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del Codespace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End w:id="91"/>
    <w:bookmarkStart w:id="92" w:name="anexo-g-glosario-y-convenciones"/>
    <w:p>
      <w:pPr>
        <w:pStyle w:val="Heading2"/>
      </w:pPr>
      <w:r>
        <w:t xml:space="preserve">Anexo G — Glosario y convenciones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Fase 1 (Diagnóstico)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Subir el proyecto inseguro; documentar los hallazgos en rojo del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Fase 2 (Remediación)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Corregir cada hallazgo con un commit; verificar la transición a verde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Hallazgo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Vulnerabilidad detectada por una prueba del pipeline (con CWE)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 × Impacto (escala 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VULN-n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Marcador de vulnerabilidad en el código oficial (</w:t>
            </w:r>
            <w:r>
              <w:rPr>
                <w:rStyle w:val="VerbatimChar"/>
              </w:rPr>
              <w:t xml:space="preserve">// [VULN-n]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Rojo /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de un job del pipeline: falla / pasa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Convenciones:</w:t>
      </w:r>
      <w:r>
        <w:t xml:space="preserve"> </w:t>
      </w:r>
      <w:r>
        <w:t xml:space="preserve">- Un commit por corrección, con mensaje descriptivo en español.</w:t>
      </w:r>
      <w:r>
        <w:t xml:space="preserve"> </w:t>
      </w:r>
      <w:r>
        <w:t xml:space="preserve">- Los reportes se descargan como artefactos y se registran en el manifiesto SHA-256.</w:t>
      </w:r>
      <w:r>
        <w:t xml:space="preserve"> </w:t>
      </w:r>
      <w:r>
        <w:t xml:space="preserve">- El repositorio es privado durante el desarrollo y público al finalizar.</w:t>
      </w:r>
      <w:r>
        <w:t xml:space="preserve"> </w:t>
      </w:r>
      <w:r>
        <w:t xml:space="preserve">- Los secretos del laboratorio son ficticios; nunca se suben secretos reales.</w:t>
      </w:r>
    </w:p>
    <w:p>
      <w:r>
        <w:pict>
          <v:rect style="width:0;height:1.5pt" o:hralign="center" o:hrstd="t" o:hr="t"/>
        </w:pict>
      </w:r>
    </w:p>
    <w:bookmarkEnd w:id="92"/>
    <w:bookmarkStart w:id="93" w:name="anexo-h-nota-de-transparencia-ia"/>
    <w:p>
      <w:pPr>
        <w:pStyle w:val="Heading2"/>
      </w:pPr>
      <w:r>
        <w:t xml:space="preserve">Anexo H — Nota de transparencia IA</w:t>
      </w:r>
    </w:p>
    <w:p>
      <w:pPr>
        <w:pStyle w:val="FirstParagraph"/>
      </w:pPr>
      <w:r>
        <w:t xml:space="preserve">Este proyecto se desarrolló con asistencia de herramientas de IA (asistente de codificación en el entorno OpenWork) para: estructurar la documentación, redactar el informe y las tablas, generar las figuras, y agilizar tareas repetitivas del pipeline.</w:t>
      </w:r>
      <w:r>
        <w:t xml:space="preserve"> </w:t>
      </w:r>
      <w:r>
        <w:rPr>
          <w:bCs/>
          <w:b/>
        </w:rPr>
        <w:t xml:space="preserve">Todas las decisiones de seguridad, la ejecución del laboratorio, la verificación de resultados y el análisis crítico fueron realizados y validados por los integrantes del equipo.</w:t>
      </w:r>
      <w:r>
        <w:t xml:space="preserve"> </w:t>
      </w:r>
      <w:r>
        <w:t xml:space="preserve">El código fuente del laboratorio es el material oficial del curso; las correcciones de la Fase 2 fueron revisadas y verificadas por el equipo antes de cada commit.</w:t>
      </w:r>
    </w:p>
    <w:bookmarkEnd w:id="93"/>
    <w:bookmarkEnd w:id="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docs/jerarquia_diseno.md" TargetMode="External" /><Relationship Type="http://schemas.openxmlformats.org/officeDocument/2006/relationships/hyperlink" Id="rId79" Target="docs/plantilla-diagnostico.md" TargetMode="External" /><Relationship Type="http://schemas.openxmlformats.org/officeDocument/2006/relationships/hyperlink" Id="rId70" Target="docs/remediacion-playbook.md" TargetMode="External" /><Relationship Type="http://schemas.openxmlformats.org/officeDocument/2006/relationships/hyperlink" Id="rId36" Target="docs/tablas/tabla-1-requisitos.md" TargetMode="External" /><Relationship Type="http://schemas.openxmlformats.org/officeDocument/2006/relationships/hyperlink" Id="rId38" Target="docs/tablas/tabla-2-stride.md" TargetMode="External" /><Relationship Type="http://schemas.openxmlformats.org/officeDocument/2006/relationships/hyperlink" Id="rId68" Target="docs/tablas/tabla-3-diagnostico.md" TargetMode="External" /><Relationship Type="http://schemas.openxmlformats.org/officeDocument/2006/relationships/hyperlink" Id="rId71" Target="docs/tablas/tabla-4-evidencias.md" TargetMode="External" /><Relationship Type="http://schemas.openxmlformats.org/officeDocument/2006/relationships/hyperlink" Id="rId75" Target="docs/tablas/tabla-5-riesgo.md" TargetMode="External" /><Relationship Type="http://schemas.openxmlformats.org/officeDocument/2006/relationships/hyperlink" Id="rId77" Target="docs/tablas/tabla-6-prueba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docs/jerarquia_diseno.md" TargetMode="External" /><Relationship Type="http://schemas.openxmlformats.org/officeDocument/2006/relationships/hyperlink" Id="rId79" Target="docs/plantilla-diagnostico.md" TargetMode="External" /><Relationship Type="http://schemas.openxmlformats.org/officeDocument/2006/relationships/hyperlink" Id="rId70" Target="docs/remediacion-playbook.md" TargetMode="External" /><Relationship Type="http://schemas.openxmlformats.org/officeDocument/2006/relationships/hyperlink" Id="rId36" Target="docs/tablas/tabla-1-requisitos.md" TargetMode="External" /><Relationship Type="http://schemas.openxmlformats.org/officeDocument/2006/relationships/hyperlink" Id="rId38" Target="docs/tablas/tabla-2-stride.md" TargetMode="External" /><Relationship Type="http://schemas.openxmlformats.org/officeDocument/2006/relationships/hyperlink" Id="rId68" Target="docs/tablas/tabla-3-diagnostico.md" TargetMode="External" /><Relationship Type="http://schemas.openxmlformats.org/officeDocument/2006/relationships/hyperlink" Id="rId71" Target="docs/tablas/tabla-4-evidencias.md" TargetMode="External" /><Relationship Type="http://schemas.openxmlformats.org/officeDocument/2006/relationships/hyperlink" Id="rId75" Target="docs/tablas/tabla-5-riesgo.md" TargetMode="External" /><Relationship Type="http://schemas.openxmlformats.org/officeDocument/2006/relationships/hyperlink" Id="rId77" Target="docs/tablas/tabla-6-prueba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2026-09-18T03:31:09Z</dcterms:created>
  <dcterms:modified xsi:type="dcterms:W3CDTF">2026-09-18T03:31:09Z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