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43.png" ContentType="image/png"/>
  <Override PartName="/word/media/rId152.png" ContentType="image/png"/>
  <Override PartName="/word/media/rId107.png" ContentType="image/png"/>
  <Override PartName="/word/media/rId104.png" ContentType="image/png"/>
  <Override PartName="/word/media/rId101.png" ContentType="image/png"/>
  <Override PartName="/word/media/rId98.png" ContentType="image/png"/>
  <Override PartName="/word/media/rId123.png" ContentType="image/png"/>
  <Override PartName="/word/media/rId126.png" ContentType="image/png"/>
  <Override PartName="/word/media/rId129.png" ContentType="image/png"/>
  <Override PartName="/word/media/rId132.png" ContentType="image/png"/>
  <Override PartName="/word/media/rId56.png" ContentType="image/png"/>
  <Override PartName="/word/media/rId59.png" ContentType="image/png"/>
  <Override PartName="/word/media/rId62.png" ContentType="image/png"/>
  <Override PartName="/word/media/rId65.png" ContentType="image/png"/>
  <Override PartName="/word/media/rId95.png" ContentType="image/png"/>
  <Override PartName="/word/media/rId120.png" ContentType="image/png"/>
  <Override PartName="/word/media/rId116.png" ContentType="image/png"/>
  <Override PartName="/word/media/rId113.png" ContentType="image/png"/>
  <Override PartName="/word/media/rId110.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871"/>
        <w:gridCol w:w="2296"/>
        <w:gridCol w:w="2455"/>
        <w:gridCol w:w="229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w:t>
            </w:r>
          </w:p>
        </w:tc>
        <w:tc>
          <w:tcPr/>
          <w:p>
            <w:pPr>
              <w:pStyle w:val="Compact"/>
              <w:jc w:val="left"/>
            </w:pPr>
            <w:r>
              <w:rPr>
                <w:rStyle w:val="VerbatimChar"/>
              </w:rPr>
              <w:t xml:space="preserve">capturas/EV-C204-023-pruebas-e2e-keycloak.txt</w:t>
            </w:r>
            <w:r>
              <w:t xml:space="preserve"> </w:t>
            </w:r>
            <w:r>
              <w:t xml:space="preserve">(P-09)</w:t>
            </w:r>
          </w:p>
        </w:tc>
        <w:tc>
          <w:tcPr/>
          <w:p>
            <w:pPr>
              <w:pStyle w:val="Compact"/>
              <w:jc w:val="left"/>
            </w:pPr>
            <w:r>
              <w:t xml:space="preserve">✅ transcripción; captura del navegador: pendiente del equipo</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p>
        </w:tc>
        <w:tc>
          <w:tcPr/>
          <w:p>
            <w:pPr>
              <w:pStyle w:val="Compact"/>
              <w:jc w:val="left"/>
            </w:pPr>
            <w:r>
              <w:rPr>
                <w:rStyle w:val="VerbatimChar"/>
              </w:rPr>
              <w:t xml:space="preserve">capturas/EV-C204-023-pruebas-e2e-keycloak.txt</w:t>
            </w:r>
            <w:r>
              <w:t xml:space="preserve"> </w:t>
            </w:r>
            <w:r>
              <w:t xml:space="preserve">(HTTP 201)</w:t>
            </w:r>
          </w:p>
        </w:tc>
        <w:tc>
          <w:tcPr/>
          <w:p>
            <w:pPr>
              <w:pStyle w:val="Compact"/>
              <w:jc w:val="left"/>
            </w:pPr>
            <w:r>
              <w:t xml:space="preserve">✅ por API en Keycloak 24.0 local; captura de la consola: pendiente del equipo</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EV-C204-006</w:t>
            </w:r>
          </w:p>
        </w:tc>
        <w:tc>
          <w:tcPr/>
          <w:p>
            <w:pPr>
              <w:pStyle w:val="Compact"/>
              <w:jc w:val="left"/>
            </w:pPr>
            <w:r>
              <w:t xml:space="preserve">App móvil cifrando/descifrando</w:t>
            </w:r>
          </w:p>
        </w:tc>
        <w:tc>
          <w:tcPr/>
          <w:p>
            <w:pPr>
              <w:pStyle w:val="Compact"/>
              <w:jc w:val="left"/>
            </w:pPr>
            <w:r>
              <w:t xml:space="preserve">—</w:t>
            </w:r>
          </w:p>
        </w:tc>
        <w:tc>
          <w:tcPr/>
          <w:p>
            <w:pPr>
              <w:pStyle w:val="Compact"/>
              <w:jc w:val="left"/>
            </w:pPr>
            <w:r>
              <w:t xml:space="preserve">⏳</w:t>
            </w:r>
            <w:r>
              <w:t xml:space="preserve"> </w:t>
            </w:r>
            <w:r>
              <w:rPr>
                <w:bCs/>
                <w:b/>
              </w:rPr>
              <w:t xml:space="preserve">pendiente del equipo</w:t>
            </w:r>
            <w:r>
              <w:t xml:space="preserve"> </w:t>
            </w:r>
            <w:r>
              <w:t xml:space="preserve">(</w:t>
            </w:r>
            <w:r>
              <w:rPr>
                <w:rStyle w:val="VerbatimChar"/>
              </w:rPr>
              <w:t xml:space="preserve">INSTRUCCIONES-CAPTURA.md</w:t>
            </w: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031–032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75"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74" w:name="configuración-del-entorno-paso-a-paso"/>
    <w:p>
      <w:pPr>
        <w:pStyle w:val="Heading2"/>
      </w:pPr>
      <w:r>
        <w:t xml:space="preserve">8. Configuración del entorno (paso a paso)</w:t>
      </w:r>
    </w:p>
    <w:bookmarkStart w:id="68"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Limitación conocida (pendiente del equipo):</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w:t>
      </w:r>
      <w:r>
        <w:t xml:space="preserve"> </w:t>
      </w:r>
      <w:r>
        <w:rPr>
          <w:bCs/>
          <w:b/>
        </w:rPr>
        <w:t xml:space="preserve">no se pudo probar en este entorno</w:t>
      </w:r>
      <w:r>
        <w:t xml:space="preserve"> </w:t>
      </w:r>
      <w:r>
        <w:t xml:space="preserve">y debe verificarse con</w:t>
      </w:r>
      <w:r>
        <w:t xml:space="preserve"> </w:t>
      </w:r>
      <w:r>
        <w:rPr>
          <w:rStyle w:val="VerbatimChar"/>
        </w:rPr>
        <w:t xml:space="preserve">docker --version</w:t>
      </w:r>
      <w:r>
        <w:t xml:space="preserve">. El pipeline de GitHub Actions no depende de esto.</w:t>
      </w:r>
    </w:p>
    <w:p>
      <w:pPr>
        <w:pStyle w:val="FirstParagraph"/>
      </w:pPr>
      <w:r>
        <w:rPr>
          <w:bCs/>
          <w:b/>
        </w:rPr>
        <w:t xml:space="preserve">Evidencia:</w:t>
      </w:r>
      <w:r>
        <w:t xml:space="preserve"> </w:t>
      </w:r>
      <w:r>
        <w:t xml:space="preserve">EV-C204-043 a EV-C204-046 (EV-C204-001 = 046).</w:t>
      </w:r>
    </w:p>
    <w:bookmarkEnd w:id="68"/>
    <w:bookmarkStart w:id="69"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(transcripción en EV-C204-023; captura del navegador pendiente del equipo).</w:t>
      </w:r>
    </w:p>
    <w:bookmarkEnd w:id="69"/>
    <w:bookmarkStart w:id="70"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EV-C204-004, EV-C204-005 (por API). Las capturas de la consola web del Codespace:</w:t>
      </w:r>
      <w:r>
        <w:t xml:space="preserve"> </w:t>
      </w:r>
      <w:r>
        <w:rPr>
          <w:bCs/>
          <w:b/>
        </w:rPr>
        <w:t xml:space="preserve">pendiente del equipo</w:t>
      </w:r>
      <w:r>
        <w:t xml:space="preserve">.</w:t>
      </w:r>
    </w:p>
    <w:bookmarkEnd w:id="70"/>
    <w:bookmarkStart w:id="71"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(captura con «Cifrado OK» y «Descifrado OK»):</w:t>
      </w:r>
      <w:r>
        <w:t xml:space="preserve"> </w:t>
      </w:r>
      <w:r>
        <w:rPr>
          <w:bCs/>
          <w:b/>
        </w:rPr>
        <w:t xml:space="preserve">pendiente del equipo</w:t>
      </w:r>
      <w:r>
        <w:t xml:space="preserve">. No se pudo ejecutar la app móvil en este entorno.</w:t>
      </w:r>
    </w:p>
    <w:bookmarkEnd w:id="71"/>
    <w:bookmarkStart w:id="72"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72"/>
    <w:bookmarkStart w:id="73"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73"/>
    <w:bookmarkEnd w:id="74"/>
    <w:bookmarkEnd w:id="75"/>
    <w:bookmarkStart w:id="93"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79" w:name="Xb44003f4d804ca91c6a4233e131d0388fe1eb79"/>
    <w:p>
      <w:pPr>
        <w:pStyle w:val="Heading2"/>
      </w:pPr>
      <w:r>
        <w:t xml:space="preserve">9. Módulo de encriptación/desencriptación (RSA)</w:t>
      </w:r>
    </w:p>
    <w:bookmarkStart w:id="76"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76"/>
    <w:bookmarkStart w:id="77"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77"/>
    <w:bookmarkStart w:id="78"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78"/>
    <w:bookmarkEnd w:id="79"/>
    <w:bookmarkStart w:id="83" w:name="funciones-de-utilidad"/>
    <w:p>
      <w:pPr>
        <w:pStyle w:val="Heading2"/>
      </w:pPr>
      <w:r>
        <w:t xml:space="preserve">10. Funciones de utilidad</w:t>
      </w:r>
    </w:p>
    <w:bookmarkStart w:id="80"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80"/>
    <w:bookmarkStart w:id="81"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81"/>
    <w:bookmarkStart w:id="82"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82"/>
    <w:bookmarkEnd w:id="83"/>
    <w:bookmarkStart w:id="87" w:name="autenticación-con-keycloak-jwt"/>
    <w:p>
      <w:pPr>
        <w:pStyle w:val="Heading2"/>
      </w:pPr>
      <w:r>
        <w:t xml:space="preserve">11. Autenticación con Keycloak (JWT)</w:t>
      </w:r>
    </w:p>
    <w:bookmarkStart w:id="84"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84"/>
    <w:bookmarkStart w:id="85"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85"/>
    <w:bookmarkStart w:id="86"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86"/>
    <w:bookmarkEnd w:id="87"/>
    <w:bookmarkStart w:id="92" w:name="pipeline-devsecops-las-6-pruebas"/>
    <w:p>
      <w:pPr>
        <w:pStyle w:val="Heading2"/>
      </w:pPr>
      <w:r>
        <w:t xml:space="preserve">12. Pipeline DevSecOps (las 6 pruebas)</w:t>
      </w:r>
    </w:p>
    <w:bookmarkStart w:id="88"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88"/>
    <w:bookmarkStart w:id="89"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89"/>
    <w:bookmarkStart w:id="90"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90"/>
    <w:bookmarkStart w:id="91"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91"/>
    <w:bookmarkEnd w:id="92"/>
    <w:bookmarkEnd w:id="93"/>
    <w:bookmarkStart w:id="156" w:name="parte-iii-diagnóstico-y-remediación"/>
    <w:p>
      <w:pPr>
        <w:pStyle w:val="Heading1"/>
      </w:pPr>
      <w:r>
        <w:t xml:space="preserve">PARTE III — DIAGNÓSTICO Y REMEDIACIÓN</w:t>
      </w:r>
    </w:p>
    <w:bookmarkStart w:id="138" w:name="fase-1-diagnóstico-pipeline-en-rojo"/>
    <w:p>
      <w:pPr>
        <w:pStyle w:val="Heading2"/>
      </w:pPr>
      <w:r>
        <w:t xml:space="preserve">13. Fase 1 — Diagnóstico (pipeline en rojo)</w:t>
      </w:r>
    </w:p>
    <w:bookmarkStart w:id="94"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94"/>
    <w:bookmarkStart w:id="119"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96" name="Picture"/>
            <a:graphic>
              <a:graphicData uri="http://schemas.openxmlformats.org/drawingml/2006/picture">
                <pic:pic>
                  <pic:nvPicPr>
                    <pic:cNvPr descr="evidencias/capturas/consola-git/EV-C204-047-screenshot-image5.png" id="97" name="Picture"/>
                    <pic:cNvPicPr>
                      <a:picLocks noChangeArrowheads="1" noChangeAspect="1"/>
                    </pic:cNvPicPr>
                  </pic:nvPicPr>
                  <pic:blipFill>
                    <a:blip r:embed="rId9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99" name="Picture"/>
            <a:graphic>
              <a:graphicData uri="http://schemas.openxmlformats.org/drawingml/2006/picture">
                <pic:pic>
                  <pic:nvPicPr>
                    <pic:cNvPr descr="evidencias/capturas/consola-git/EV-C204-036-screenshot-image13.png" id="100" name="Picture"/>
                    <pic:cNvPicPr>
                      <a:picLocks noChangeArrowheads="1" noChangeAspect="1"/>
                    </pic:cNvPicPr>
                  </pic:nvPicPr>
                  <pic:blipFill>
                    <a:blip r:embed="rId9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02" name="Picture"/>
            <a:graphic>
              <a:graphicData uri="http://schemas.openxmlformats.org/drawingml/2006/picture">
                <pic:pic>
                  <pic:nvPicPr>
                    <pic:cNvPr descr="evidencias/capturas/consola-git/EV-C204-035-screenshot-image12.png" id="103" name="Picture"/>
                    <pic:cNvPicPr>
                      <a:picLocks noChangeArrowheads="1" noChangeAspect="1"/>
                    </pic:cNvPicPr>
                  </pic:nvPicPr>
                  <pic:blipFill>
                    <a:blip r:embed="rId10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05" name="Picture"/>
            <a:graphic>
              <a:graphicData uri="http://schemas.openxmlformats.org/drawingml/2006/picture">
                <pic:pic>
                  <pic:nvPicPr>
                    <pic:cNvPr descr="evidencias/capturas/consola-git/EV-C204-034-screenshot-image11.png" id="106" name="Picture"/>
                    <pic:cNvPicPr>
                      <a:picLocks noChangeArrowheads="1" noChangeAspect="1"/>
                    </pic:cNvPicPr>
                  </pic:nvPicPr>
                  <pic:blipFill>
                    <a:blip r:embed="rId10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08" name="Picture"/>
            <a:graphic>
              <a:graphicData uri="http://schemas.openxmlformats.org/drawingml/2006/picture">
                <pic:pic>
                  <pic:nvPicPr>
                    <pic:cNvPr descr="evidencias/capturas/consola-git/EV-C204-033-screenshot-image10.png" id="109" name="Picture"/>
                    <pic:cNvPicPr>
                      <a:picLocks noChangeArrowheads="1" noChangeAspect="1"/>
                    </pic:cNvPicPr>
                  </pic:nvPicPr>
                  <pic:blipFill>
                    <a:blip r:embed="rId10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11" name="Picture"/>
            <a:graphic>
              <a:graphicData uri="http://schemas.openxmlformats.org/drawingml/2006/picture">
                <pic:pic>
                  <pic:nvPicPr>
                    <pic:cNvPr descr="evidencias/capturas/consola-git/EV-C204-051-screenshot-image9.png" id="112" name="Picture"/>
                    <pic:cNvPicPr>
                      <a:picLocks noChangeArrowheads="1" noChangeAspect="1"/>
                    </pic:cNvPicPr>
                  </pic:nvPicPr>
                  <pic:blipFill>
                    <a:blip r:embed="rId110"/>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14" name="Picture"/>
            <a:graphic>
              <a:graphicData uri="http://schemas.openxmlformats.org/drawingml/2006/picture">
                <pic:pic>
                  <pic:nvPicPr>
                    <pic:cNvPr descr="evidencias/capturas/consola-git/EV-C204-050-screenshot-image8.png" id="115" name="Picture"/>
                    <pic:cNvPicPr>
                      <a:picLocks noChangeArrowheads="1" noChangeAspect="1"/>
                    </pic:cNvPicPr>
                  </pic:nvPicPr>
                  <pic:blipFill>
                    <a:blip r:embed="rId113"/>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17" name="Picture"/>
            <a:graphic>
              <a:graphicData uri="http://schemas.openxmlformats.org/drawingml/2006/picture">
                <pic:pic>
                  <pic:nvPicPr>
                    <pic:cNvPr descr="evidencias/capturas/consola-git/EV-C204-049-screenshot-image7.png" id="118" name="Picture"/>
                    <pic:cNvPicPr>
                      <a:picLocks noChangeArrowheads="1" noChangeAspect="1"/>
                    </pic:cNvPicPr>
                  </pic:nvPicPr>
                  <pic:blipFill>
                    <a:blip r:embed="rId11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19"/>
    <w:bookmarkStart w:id="135"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21" name="Picture"/>
            <a:graphic>
              <a:graphicData uri="http://schemas.openxmlformats.org/drawingml/2006/picture">
                <pic:pic>
                  <pic:nvPicPr>
                    <pic:cNvPr descr="evidencias/capturas/consola-git/EV-C204-048-screenshot-image6.png" id="122" name="Picture"/>
                    <pic:cNvPicPr>
                      <a:picLocks noChangeArrowheads="1" noChangeAspect="1"/>
                    </pic:cNvPicPr>
                  </pic:nvPicPr>
                  <pic:blipFill>
                    <a:blip r:embed="rId12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24" name="Picture"/>
            <a:graphic>
              <a:graphicData uri="http://schemas.openxmlformats.org/drawingml/2006/picture">
                <pic:pic>
                  <pic:nvPicPr>
                    <pic:cNvPr descr="evidencias/capturas/consola-git/EV-C204-038-screenshot-image15.png" id="125" name="Picture"/>
                    <pic:cNvPicPr>
                      <a:picLocks noChangeArrowheads="1" noChangeAspect="1"/>
                    </pic:cNvPicPr>
                  </pic:nvPicPr>
                  <pic:blipFill>
                    <a:blip r:embed="rId123"/>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27" name="Picture"/>
            <a:graphic>
              <a:graphicData uri="http://schemas.openxmlformats.org/drawingml/2006/picture">
                <pic:pic>
                  <pic:nvPicPr>
                    <pic:cNvPr descr="evidencias/capturas/consola-git/EV-C204-040-screenshot-image17.png" id="128" name="Picture"/>
                    <pic:cNvPicPr>
                      <a:picLocks noChangeArrowheads="1" noChangeAspect="1"/>
                    </pic:cNvPicPr>
                  </pic:nvPicPr>
                  <pic:blipFill>
                    <a:blip r:embed="rId126"/>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30" name="Picture"/>
            <a:graphic>
              <a:graphicData uri="http://schemas.openxmlformats.org/drawingml/2006/picture">
                <pic:pic>
                  <pic:nvPicPr>
                    <pic:cNvPr descr="evidencias/capturas/consola-git/EV-C204-041-screenshot-image18.png" id="131" name="Picture"/>
                    <pic:cNvPicPr>
                      <a:picLocks noChangeArrowheads="1" noChangeAspect="1"/>
                    </pic:cNvPicPr>
                  </pic:nvPicPr>
                  <pic:blipFill>
                    <a:blip r:embed="rId129"/>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33" name="Picture"/>
            <a:graphic>
              <a:graphicData uri="http://schemas.openxmlformats.org/drawingml/2006/picture">
                <pic:pic>
                  <pic:nvPicPr>
                    <pic:cNvPr descr="evidencias/capturas/consola-git/EV-C204-042-screenshot-image19.png" id="134" name="Picture"/>
                    <pic:cNvPicPr>
                      <a:picLocks noChangeArrowheads="1" noChangeAspect="1"/>
                    </pic:cNvPicPr>
                  </pic:nvPicPr>
                  <pic:blipFill>
                    <a:blip r:embed="rId132"/>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35"/>
    <w:bookmarkStart w:id="137"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36">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37"/>
    <w:bookmarkEnd w:id="138"/>
    <w:bookmarkStart w:id="151" w:name="fase-2-remediación-de-rojo-a-verde"/>
    <w:p>
      <w:pPr>
        <w:pStyle w:val="Heading2"/>
      </w:pPr>
      <w:r>
        <w:t xml:space="preserve">14. Fase 2 — Remediación (de rojo a verde)</w:t>
      </w:r>
    </w:p>
    <w:bookmarkStart w:id="141"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39">
        <w:r>
          <w:rPr>
            <w:rStyle w:val="VerbatimChar"/>
          </w:rPr>
          <w:t xml:space="preserve">docs/tablas/tabla-4-evidencias.md</w:t>
        </w:r>
      </w:hyperlink>
      <w:r>
        <w:t xml:space="preserve">. El playbook de patrones de corrección está en</w:t>
      </w:r>
      <w:r>
        <w:t xml:space="preserve"> </w:t>
      </w:r>
      <w:hyperlink r:id="rId140">
        <w:r>
          <w:rPr>
            <w:rStyle w:val="VerbatimChar"/>
          </w:rPr>
          <w:t xml:space="preserve">docs/remediacion-playbook.md</w:t>
        </w:r>
      </w:hyperlink>
      <w:r>
        <w:t xml:space="preserve">.</w:t>
      </w:r>
    </w:p>
    <w:bookmarkEnd w:id="141"/>
    <w:bookmarkStart w:id="142"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42"/>
    <w:bookmarkStart w:id="149"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tefactos con su huella SHA-256" title="" id="144" name="Picture"/>
            <a:graphic>
              <a:graphicData uri="http://schemas.openxmlformats.org/drawingml/2006/picture">
                <pic:pic>
                  <pic:nvPicPr>
                    <pic:cNvPr descr="evidencias/capturas/EV-C204-013-pipeline-verde.png" id="145" name="Picture"/>
                    <pic:cNvPicPr>
                      <a:picLocks noChangeArrowheads="1" noChangeAspect="1"/>
                    </pic:cNvPicPr>
                  </pic:nvPicPr>
                  <pic:blipFill>
                    <a:blip r:embed="rId143"/>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artefactos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47" name="Picture"/>
            <a:graphic>
              <a:graphicData uri="http://schemas.openxmlformats.org/drawingml/2006/picture">
                <pic:pic>
                  <pic:nvPicPr>
                    <pic:cNvPr descr="evidencias/capturas/EV-C204-012-codeql-alertas.png" id="148" name="Picture"/>
                    <pic:cNvPicPr>
                      <a:picLocks noChangeArrowheads="1" noChangeAspect="1"/>
                    </pic:cNvPicPr>
                  </pic:nvPicPr>
                  <pic:blipFill>
                    <a:blip r:embed="rId146"/>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49"/>
    <w:bookmarkStart w:id="150"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50"/>
    <w:bookmarkEnd w:id="151"/>
    <w:bookmarkStart w:id="155"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53" name="Picture"/>
            <a:graphic>
              <a:graphicData uri="http://schemas.openxmlformats.org/drawingml/2006/picture">
                <pic:pic>
                  <pic:nvPicPr>
                    <pic:cNvPr descr="evidencias/capturas/EV-C204-014-proteccion.png" id="154" name="Picture"/>
                    <pic:cNvPicPr>
                      <a:picLocks noChangeArrowheads="1" noChangeAspect="1"/>
                    </pic:cNvPicPr>
                  </pic:nvPicPr>
                  <pic:blipFill>
                    <a:blip r:embed="rId152"/>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55"/>
    <w:bookmarkEnd w:id="156"/>
    <w:bookmarkStart w:id="163" w:name="parte-iv-pruebas-y-riesgos"/>
    <w:p>
      <w:pPr>
        <w:pStyle w:val="Heading1"/>
      </w:pPr>
      <w:r>
        <w:t xml:space="preserve">PARTE IV — PRUEBAS Y RIESGOS</w:t>
      </w:r>
    </w:p>
    <w:bookmarkStart w:id="158"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57">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58"/>
    <w:bookmarkStart w:id="160"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59">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Pendiente del equipo:</w:t>
      </w:r>
      <w:r>
        <w:t xml:space="preserve"> </w:t>
      </w:r>
      <w:r>
        <w:t xml:space="preserve">P-27 (app móvil) y P-28 (consola de Keycloak en el Codespace).</w:t>
      </w:r>
    </w:p>
    <w:bookmarkEnd w:id="160"/>
    <w:bookmarkStart w:id="162" w:name="plantilla-de-diagnóstico-del-curso"/>
    <w:p>
      <w:pPr>
        <w:pStyle w:val="Heading2"/>
      </w:pPr>
      <w:r>
        <w:t xml:space="preserve">18. Plantilla de diagnóstico del curso</w:t>
      </w:r>
    </w:p>
    <w:p>
      <w:pPr>
        <w:pStyle w:val="BlockText"/>
      </w:pPr>
      <w:r>
        <w:t xml:space="preserve">Ver</w:t>
      </w:r>
      <w:r>
        <w:t xml:space="preserve"> </w:t>
      </w:r>
      <w:hyperlink r:id="rId161">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62"/>
    <w:bookmarkEnd w:id="163"/>
    <w:bookmarkStart w:id="221" w:name="parte-v-cierre-académico"/>
    <w:p>
      <w:pPr>
        <w:pStyle w:val="Heading1"/>
      </w:pPr>
      <w:r>
        <w:t xml:space="preserve">PARTE V — CIERRE ACADÉMICO</w:t>
      </w:r>
    </w:p>
    <w:bookmarkStart w:id="164"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64"/>
    <w:bookmarkStart w:id="165"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la consola de Keycloak del Codespace no se pudieron verificar en este entorno (pendiente del equipo) y el Codespace con Docker aún debe confirmarse; las llaves RSA se generan en memoria y se pierden al reiniciar (adecuado para un laboratorio, no para producción).</w:t>
      </w:r>
    </w:p>
    <w:bookmarkEnd w:id="165"/>
    <w:bookmarkStart w:id="166"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66"/>
    <w:bookmarkStart w:id="167"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67"/>
    <w:bookmarkStart w:id="168"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68"/>
    <w:bookmarkStart w:id="169"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69"/>
    <w:bookmarkStart w:id="208" w:name="anexo-a-tablas-16-completas"/>
    <w:p>
      <w:pPr>
        <w:pStyle w:val="Heading2"/>
      </w:pPr>
      <w:r>
        <w:t xml:space="preserve">Anexo A — Tablas 1–6 completas</w:t>
      </w:r>
    </w:p>
    <w:bookmarkStart w:id="175"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70"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70"/>
    <w:bookmarkStart w:id="171"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71"/>
    <w:bookmarkStart w:id="172"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72"/>
    <w:bookmarkStart w:id="173"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73"/>
    <w:bookmarkStart w:id="174"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74"/>
    <w:bookmarkEnd w:id="175"/>
    <w:bookmarkStart w:id="181"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76"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76"/>
    <w:bookmarkStart w:id="177"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77"/>
    <w:bookmarkStart w:id="178"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78"/>
    <w:bookmarkStart w:id="179"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79"/>
    <w:bookmarkStart w:id="180"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80"/>
    <w:bookmarkEnd w:id="181"/>
    <w:bookmarkStart w:id="187"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182"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182"/>
    <w:bookmarkStart w:id="183"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183"/>
    <w:bookmarkStart w:id="184"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184"/>
    <w:bookmarkStart w:id="185"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185"/>
    <w:bookmarkStart w:id="186"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186"/>
    <w:bookmarkEnd w:id="187"/>
    <w:bookmarkStart w:id="190"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188"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188"/>
    <w:bookmarkStart w:id="189"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189"/>
    <w:bookmarkEnd w:id="190"/>
    <w:bookmarkStart w:id="199"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191"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191"/>
    <w:bookmarkStart w:id="192"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192"/>
    <w:bookmarkStart w:id="195" w:name="análisis-gerencial-complementario"/>
    <w:p>
      <w:pPr>
        <w:pStyle w:val="Heading4"/>
      </w:pPr>
      <w:r>
        <w:t xml:space="preserve">Análisis gerencial complementario</w:t>
      </w:r>
    </w:p>
    <w:bookmarkStart w:id="193"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193"/>
    <w:bookmarkStart w:id="194"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194"/>
    <w:bookmarkEnd w:id="195"/>
    <w:bookmarkStart w:id="196"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196"/>
    <w:bookmarkStart w:id="197"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197"/>
    <w:bookmarkStart w:id="198" w:name="nota-de-trazabilidad-2"/>
    <w:p>
      <w:pPr>
        <w:pStyle w:val="Heading4"/>
      </w:pPr>
      <w:r>
        <w:t xml:space="preserve">Nota de trazabilidad</w:t>
      </w:r>
    </w:p>
    <w:p>
      <w:pPr>
        <w:pStyle w:val="FirstParagraph"/>
      </w:pPr>
      <w:r>
        <w:t xml:space="preserve">Esta tabla alimenta: informe §16, la plantilla de diagnóstico y la Tabla 4.</w:t>
      </w:r>
    </w:p>
    <w:bookmarkEnd w:id="198"/>
    <w:bookmarkEnd w:id="199"/>
    <w:bookmarkStart w:id="207"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lo marcado «pendiente del equipo» (requiere el Codespace y la app móvil).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00"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00"/>
    <w:bookmarkStart w:id="201"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01"/>
    <w:bookmarkStart w:id="202"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02"/>
    <w:bookmarkStart w:id="203"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03"/>
    <w:bookmarkStart w:id="204"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04"/>
    <w:bookmarkStart w:id="205" w:name="X267b18a9dacca8e9e870fac5000f4897318d54f"/>
    <w:p>
      <w:pPr>
        <w:pStyle w:val="Heading4"/>
      </w:pPr>
      <w:r>
        <w:t xml:space="preserve">Pendiente del equipo (no se pudo ejecutar aquí)</w:t>
      </w:r>
    </w:p>
    <w:tbl>
      <w:tblPr>
        <w:tblStyle w:val="Table"/>
        <w:tblW w:type="pct" w:w="5000"/>
        <w:tblLook w:firstRow="1" w:lastRow="0" w:firstColumn="0" w:lastColumn="0" w:noHBand="0" w:noVBand="0" w:val="0020"/>
        <w:jc w:val="start"/>
      </w:tblPr>
      <w:tblGrid>
        <w:gridCol w:w="554"/>
        <w:gridCol w:w="2376"/>
        <w:gridCol w:w="2376"/>
        <w:gridCol w:w="2613"/>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Por qué falta</w:t>
            </w:r>
          </w:p>
        </w:tc>
        <w:tc>
          <w:tcPr/>
          <w:p>
            <w:pPr>
              <w:pStyle w:val="Compact"/>
              <w:jc w:val="left"/>
            </w:pPr>
            <w:r>
              <w:t xml:space="preserve">Cómo hacerla</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Requiere el navegador y el Codespace del equipo</w:t>
            </w:r>
          </w:p>
        </w:tc>
        <w:tc>
          <w:tcPr/>
          <w:p>
            <w:pPr>
              <w:pStyle w:val="Compact"/>
              <w:jc w:val="left"/>
            </w:pPr>
            <w:r>
              <w:t xml:space="preserve">Guía de laboratorio §8 (ver</w:t>
            </w:r>
            <w:r>
              <w:t xml:space="preserve"> </w:t>
            </w:r>
            <w:r>
              <w:rPr>
                <w:rStyle w:val="VerbatimChar"/>
              </w:rPr>
              <w:t xml:space="preserve">docs/evidencias/INSTRUCCIONES-CAPTURA.md</w:t>
            </w:r>
            <w:r>
              <w:t xml:space="preserve">, EV-C204-006)</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Se probó Keycloak 24.0 local por API; la guía pide capturas de la consola</w:t>
            </w:r>
          </w:p>
        </w:tc>
        <w:tc>
          <w:tcPr/>
          <w:p>
            <w:pPr>
              <w:pStyle w:val="Compact"/>
              <w:jc w:val="left"/>
            </w:pPr>
            <w:r>
              <w:rPr>
                <w:rStyle w:val="VerbatimChar"/>
              </w:rPr>
              <w:t xml:space="preserve">INSTRUCCIONES-CAPTURA.md</w:t>
            </w:r>
            <w:r>
              <w:t xml:space="preserve">, EV-C204-003 a EV-C204-005</w:t>
            </w:r>
          </w:p>
        </w:tc>
      </w:tr>
    </w:tbl>
    <w:bookmarkEnd w:id="205"/>
    <w:bookmarkStart w:id="206" w:name="nota-de-trazabilidad-3"/>
    <w:p>
      <w:pPr>
        <w:pStyle w:val="Heading4"/>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06"/>
    <w:bookmarkEnd w:id="207"/>
    <w:bookmarkEnd w:id="208"/>
    <w:bookmarkStart w:id="209"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09"/>
    <w:bookmarkStart w:id="210"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10"/>
    <w:bookmarkStart w:id="211"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11"/>
    <w:bookmarkStart w:id="212"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267"/>
        <w:gridCol w:w="3009"/>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 (capturas de Keycloak y de la app: pendientes del equipo)</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12"/>
    <w:bookmarkStart w:id="216" w:name="X97195745177c874f01ad80e4dce35521f49f2f2"/>
    <w:p>
      <w:pPr>
        <w:pStyle w:val="Heading2"/>
      </w:pPr>
      <w:r>
        <w:t xml:space="preserve">Anexo F — Guía de lectura (evidencias, siglas y archivos)</w:t>
      </w:r>
    </w:p>
    <w:bookmarkStart w:id="213"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13"/>
    <w:bookmarkStart w:id="214"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14"/>
    <w:bookmarkStart w:id="215"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15"/>
    <w:bookmarkEnd w:id="216"/>
    <w:bookmarkStart w:id="217"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17"/>
    <w:bookmarkStart w:id="218"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Las decisiones de seguridad, la validación en el Codespace, las capturas de la app móvil y de la consola de Keycloak, la protección de la rama y la entrega a la docente son responsabilidad de los integrantes del equipo.</w:t>
      </w:r>
      <w:r>
        <w:t xml:space="preserve"> </w:t>
      </w:r>
      <w:r>
        <w:t xml:space="preserve">El código fuente base es el material oficial del curso.</w:t>
      </w:r>
    </w:p>
    <w:p>
      <w:r>
        <w:pict>
          <v:rect style="width:0;height:1.5pt" o:hralign="center" o:hrstd="t" o:hr="t"/>
        </w:pict>
      </w:r>
    </w:p>
    <w:bookmarkEnd w:id="218"/>
    <w:bookmarkStart w:id="219"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19"/>
    <w:bookmarkStart w:id="220"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20"/>
    <w:bookmarkEnd w:id="2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6" Target="media/rId146.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5" Target="media/rId95.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61" Target="plantilla-diagnostico.md" TargetMode="External" /><Relationship Type="http://schemas.openxmlformats.org/officeDocument/2006/relationships/hyperlink" Id="rId140"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36" Target="tablas/tabla-3-diagnostico.md" TargetMode="External" /><Relationship Type="http://schemas.openxmlformats.org/officeDocument/2006/relationships/hyperlink" Id="rId139" Target="tablas/tabla-4-evidencias.md" TargetMode="External" /><Relationship Type="http://schemas.openxmlformats.org/officeDocument/2006/relationships/hyperlink" Id="rId157" Target="tablas/tabla-5-riesgo.md" TargetMode="External" /><Relationship Type="http://schemas.openxmlformats.org/officeDocument/2006/relationships/hyperlink" Id="rId159"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61" Target="plantilla-diagnostico.md" TargetMode="External" /><Relationship Type="http://schemas.openxmlformats.org/officeDocument/2006/relationships/hyperlink" Id="rId140"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36" Target="tablas/tabla-3-diagnostico.md" TargetMode="External" /><Relationship Type="http://schemas.openxmlformats.org/officeDocument/2006/relationships/hyperlink" Id="rId139" Target="tablas/tabla-4-evidencias.md" TargetMode="External" /><Relationship Type="http://schemas.openxmlformats.org/officeDocument/2006/relationships/hyperlink" Id="rId157" Target="tablas/tabla-5-riesgo.md" TargetMode="External" /><Relationship Type="http://schemas.openxmlformats.org/officeDocument/2006/relationships/hyperlink" Id="rId159"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2026-09-19T15:31:05Z</dcterms:created>
  <dcterms:modified xsi:type="dcterms:W3CDTF">2026-09-19T15:31:05Z</dcterms:modified>
</cp:coreProperties>
</file>

<file path=docProps/custom.xml><?xml version="1.0" encoding="utf-8"?>
<Properties xmlns="http://schemas.openxmlformats.org/officeDocument/2006/custom-properties" xmlns:vt="http://schemas.openxmlformats.org/officeDocument/2006/docPropsVTypes"/>
</file>