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2.jpg" ContentType="image/jpeg"/>
  <Override PartName="/word/media/rId75.png" ContentType="image/png"/>
  <Override PartName="/word/media/rId79.jpg" ContentType="image/jpeg"/>
  <Override PartName="/word/media/rId82.png" ContentType="image/png"/>
  <Override PartName="/word/media/rId85.png" ContentType="image/png"/>
  <Override PartName="/word/media/rId89.png" ContentType="image/png"/>
  <Override PartName="/word/media/rId167.png" ContentType="image/png"/>
  <Override PartName="/word/media/rId164.png" ContentType="image/png"/>
  <Override PartName="/word/media/rId173.png" ContentType="image/png"/>
  <Override PartName="/word/media/rId239.png" ContentType="image/png"/>
  <Override PartName="/word/media/rId128.png" ContentType="image/png"/>
  <Override PartName="/word/media/rId125.png" ContentType="image/png"/>
  <Override PartName="/word/media/rId122.png" ContentType="image/png"/>
  <Override PartName="/word/media/rId119.png" ContentType="image/png"/>
  <Override PartName="/word/media/rId144.png" ContentType="image/png"/>
  <Override PartName="/word/media/rId147.png" ContentType="image/png"/>
  <Override PartName="/word/media/rId150.png" ContentType="image/png"/>
  <Override PartName="/word/media/rId153.png" ContentType="image/png"/>
  <Override PartName="/word/media/rId56.png" ContentType="image/png"/>
  <Override PartName="/word/media/rId59.png" ContentType="image/png"/>
  <Override PartName="/word/media/rId62.png" ContentType="image/png"/>
  <Override PartName="/word/media/rId65.png" ContentType="image/png"/>
  <Override PartName="/word/media/rId116.png" ContentType="image/png"/>
  <Override PartName="/word/media/rId141.png" ContentType="image/png"/>
  <Override PartName="/word/media/rId137.png" ContentType="image/png"/>
  <Override PartName="/word/media/rId134.png" ContentType="image/png"/>
  <Override PartName="/word/media/rId131.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t xml:space="preserve">El informe sigue la estructura establecida por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verificable mediante</w:t>
      </w:r>
      <w:r>
        <w:t xml:space="preserve"> </w:t>
      </w:r>
      <w:r>
        <w:rPr>
          <w:rStyle w:val="VerbatimChar"/>
        </w:rPr>
        <w:t xml:space="preserve">docs/evidencias/manifiesto-sha256.txt</w:t>
      </w:r>
      <w:r>
        <w:t xml:space="preserve">.</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1108"/>
        <w:gridCol w:w="2613"/>
        <w:gridCol w:w="2851"/>
        <w:gridCol w:w="1346"/>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(Docker: ver EV-C204-001b)</w:t>
            </w:r>
          </w:p>
        </w:tc>
      </w:tr>
      <w:tr>
        <w:tc>
          <w:tcPr/>
          <w:p>
            <w:pPr>
              <w:pStyle w:val="Compact"/>
              <w:jc w:val="left"/>
            </w:pPr>
            <w:r>
              <w:t xml:space="preserve">EV-C204-001b</w:t>
            </w:r>
          </w:p>
        </w:tc>
        <w:tc>
          <w:tcPr/>
          <w:p>
            <w:pPr>
              <w:pStyle w:val="Compact"/>
              <w:jc w:val="left"/>
            </w:pPr>
            <w:r>
              <w:t xml:space="preserve">Versión de Docker en el Codespace corregido:</w:t>
            </w:r>
            <w:r>
              <w:t xml:space="preserve"> </w:t>
            </w:r>
            <w:r>
              <w:rPr>
                <w:rStyle w:val="VerbatimChar"/>
              </w:rPr>
              <w:t xml:space="preserve">Docker version 29.8.1, build 4a63305</w:t>
            </w:r>
          </w:p>
        </w:tc>
        <w:tc>
          <w:tcPr/>
          <w:p>
            <w:pPr>
              <w:pStyle w:val="Compact"/>
              <w:jc w:val="left"/>
            </w:pPr>
            <w:r>
              <w:rPr>
                <w:rStyle w:val="VerbatimChar"/>
              </w:rPr>
              <w:t xml:space="preserve">capturas/EV-C204-001b-docker-version.png</w:t>
            </w:r>
          </w:p>
        </w:tc>
        <w:tc>
          <w:tcPr/>
          <w:p>
            <w:pPr>
              <w:pStyle w:val="Compact"/>
              <w:jc w:val="left"/>
            </w:pPr>
            <w:r>
              <w:t xml:space="preserve">✅</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 en el Codespace</w:t>
            </w:r>
          </w:p>
        </w:tc>
        <w:tc>
          <w:tcPr/>
          <w:p>
            <w:pPr>
              <w:pStyle w:val="Compact"/>
              <w:jc w:val="left"/>
            </w:pPr>
            <w:r>
              <w:rPr>
                <w:rStyle w:val="VerbatimChar"/>
              </w:rPr>
              <w:t xml:space="preserve">capturas/EV-C204-002-salud.jpeg</w:t>
            </w:r>
            <w:r>
              <w:t xml:space="preserve"> </w:t>
            </w:r>
            <w:r>
              <w:t xml:space="preserve">y resumen</w:t>
            </w:r>
            <w:r>
              <w:t xml:space="preserve"> </w:t>
            </w:r>
            <w:r>
              <w:rPr>
                <w:rStyle w:val="VerbatimChar"/>
              </w:rPr>
              <w:t xml:space="preserve">EV-C204-002b-resumen-chatgpt.png</w:t>
            </w:r>
            <w:r>
              <w:t xml:space="preserve"> </w:t>
            </w:r>
            <w:r>
              <w:t xml:space="preserve">(+ transcripción:</w:t>
            </w:r>
            <w:r>
              <w:t xml:space="preserve"> </w:t>
            </w:r>
            <w:r>
              <w:rPr>
                <w:rStyle w:val="VerbatimChar"/>
              </w:rPr>
              <w:t xml:space="preserve">EV-C204-023-pruebas-e2e-keycloak.txt</w:t>
            </w:r>
            <w:r>
              <w:t xml:space="preserve">, P-09)</w:t>
            </w:r>
          </w:p>
        </w:tc>
        <w:tc>
          <w:tcPr/>
          <w:p>
            <w:pPr>
              <w:pStyle w:val="Compact"/>
              <w:jc w:val="left"/>
            </w:pPr>
            <w:r>
              <w:t xml:space="preserve">✅</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r>
              <w:t xml:space="preserve"> </w:t>
            </w:r>
            <w:r>
              <w:t xml:space="preserve">(consola web del Codespace)</w:t>
            </w:r>
          </w:p>
        </w:tc>
        <w:tc>
          <w:tcPr/>
          <w:p>
            <w:pPr>
              <w:pStyle w:val="Compact"/>
              <w:jc w:val="left"/>
            </w:pPr>
            <w:r>
              <w:rPr>
                <w:rStyle w:val="VerbatimChar"/>
              </w:rPr>
              <w:t xml:space="preserve">capturas/EV-C204-003-realm.jpeg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r>
              <w:t xml:space="preserve"> </w:t>
            </w:r>
            <w:r>
              <w:t xml:space="preserve">(consola web del Codespace)</w:t>
            </w:r>
          </w:p>
        </w:tc>
        <w:tc>
          <w:tcPr/>
          <w:p>
            <w:pPr>
              <w:pStyle w:val="Compact"/>
              <w:jc w:val="left"/>
            </w:pPr>
            <w:r>
              <w:rPr>
                <w:rStyle w:val="VerbatimChar"/>
              </w:rPr>
              <w:t xml:space="preserve">capturas/EV-C204-004-cliente.png</w:t>
            </w:r>
            <w:r>
              <w:t xml:space="preserve"> </w:t>
            </w:r>
            <w:r>
              <w:t xml:space="preserve">(+ datos, ídem)</w:t>
            </w:r>
          </w:p>
        </w:tc>
        <w:tc>
          <w:tcPr/>
          <w:p>
            <w:pPr>
              <w:pStyle w:val="Compact"/>
              <w:jc w:val="left"/>
            </w:pPr>
            <w:r>
              <w:t xml:space="preserve">✅</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r>
              <w:t xml:space="preserve"> </w:t>
            </w:r>
            <w:r>
              <w:t xml:space="preserve">(consola web del Codespace)</w:t>
            </w:r>
          </w:p>
        </w:tc>
        <w:tc>
          <w:tcPr/>
          <w:p>
            <w:pPr>
              <w:pStyle w:val="Compact"/>
              <w:jc w:val="left"/>
            </w:pPr>
            <w:r>
              <w:rPr>
                <w:rStyle w:val="VerbatimChar"/>
              </w:rPr>
              <w:t xml:space="preserve">capturas/EV-C204-005-usuario.png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EV-C204-006</w:t>
            </w:r>
          </w:p>
        </w:tc>
        <w:tc>
          <w:tcPr/>
          <w:p>
            <w:pPr>
              <w:pStyle w:val="Compact"/>
              <w:jc w:val="left"/>
            </w:pPr>
            <w:r>
              <w:t xml:space="preserve">App móvil cifrando/descifrando en el Codespace</w:t>
            </w:r>
          </w:p>
        </w:tc>
        <w:tc>
          <w:tcPr/>
          <w:p>
            <w:pPr>
              <w:pStyle w:val="Compact"/>
              <w:jc w:val="left"/>
            </w:pPr>
            <w:r>
              <w:rPr>
                <w:rStyle w:val="VerbatimChar"/>
              </w:rPr>
              <w:t xml:space="preserve">capturas/EV-C204-006-app.png</w:t>
            </w:r>
          </w:p>
        </w:tc>
        <w:tc>
          <w:tcPr/>
          <w:p>
            <w:pPr>
              <w:pStyle w:val="Compact"/>
              <w:jc w:val="left"/>
            </w:pP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 0 abiertas, 3 cerradas</w:t>
            </w:r>
          </w:p>
        </w:tc>
        <w:tc>
          <w:tcPr/>
          <w:p>
            <w:pPr>
              <w:pStyle w:val="Compact"/>
              <w:jc w:val="left"/>
            </w:pPr>
            <w:r>
              <w:rPr>
                <w:rStyle w:val="VerbatimChar"/>
              </w:rPr>
              <w:t xml:space="preserve">capturas/EV-C204-012-codeql-alertas.png</w:t>
            </w:r>
            <w:r>
              <w:t xml:space="preserve"> </w:t>
            </w:r>
            <w:r>
              <w:t xml:space="preserve">(+ datos:</w:t>
            </w:r>
            <w:r>
              <w:t xml:space="preserve"> </w:t>
            </w:r>
            <w:r>
              <w:rPr>
                <w:rStyle w:val="VerbatimChar"/>
              </w:rPr>
              <w:t xml:space="preserve">EV-C204-025-codeql-alertas.json</w:t>
            </w:r>
            <w:r>
              <w:t xml:space="preserve">)</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 run #27 (35442482331)</w:t>
            </w:r>
          </w:p>
        </w:tc>
        <w:tc>
          <w:tcPr/>
          <w:p>
            <w:pPr>
              <w:pStyle w:val="Compact"/>
              <w:jc w:val="left"/>
            </w:pPr>
            <w:r>
              <w:rPr>
                <w:rStyle w:val="VerbatimChar"/>
              </w:rPr>
              <w:t xml:space="preserve">capturas/EV-C204-013-pipeline-verde.png</w:t>
            </w:r>
            <w:r>
              <w:t xml:space="preserve"> </w:t>
            </w:r>
            <w:r>
              <w:t xml:space="preserve">(+ transcripción:</w:t>
            </w:r>
            <w:r>
              <w:t xml:space="preserve"> </w:t>
            </w:r>
            <w:r>
              <w:rPr>
                <w:rStyle w:val="VerbatimChar"/>
              </w:rPr>
              <w:t xml:space="preserve">EV-C204-026-run-verde.txt</w:t>
            </w:r>
            <w:r>
              <w:t xml:space="preserve">)</w:t>
            </w:r>
          </w:p>
        </w:tc>
        <w:tc>
          <w:tcPr/>
          <w:p>
            <w:pPr>
              <w:pStyle w:val="Compact"/>
              <w:jc w:val="left"/>
            </w:pPr>
            <w:r>
              <w:t xml:space="preserve">✅</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 (ruleset</w:t>
            </w:r>
            <w:r>
              <w:t xml:space="preserve"> </w:t>
            </w:r>
            <w:r>
              <w:rPr>
                <w:rStyle w:val="VerbatimChar"/>
              </w:rPr>
              <w:t xml:space="preserve">proteger-main</w:t>
            </w:r>
            <w:r>
              <w:t xml:space="preserve">)</w:t>
            </w:r>
          </w:p>
        </w:tc>
        <w:tc>
          <w:tcPr/>
          <w:p>
            <w:pPr>
              <w:pStyle w:val="Compact"/>
              <w:jc w:val="left"/>
            </w:pPr>
            <w:r>
              <w:rPr>
                <w:rStyle w:val="VerbatimChar"/>
              </w:rPr>
              <w:t xml:space="preserve">capturas/EV-C204-014-proteccion.png</w:t>
            </w:r>
            <w:r>
              <w:t xml:space="preserve"> </w:t>
            </w:r>
            <w:r>
              <w:t xml:space="preserve">(+ configuración:</w:t>
            </w:r>
            <w:r>
              <w:t xml:space="preserve"> </w:t>
            </w:r>
            <w:r>
              <w:rPr>
                <w:rStyle w:val="VerbatimChar"/>
              </w:rPr>
              <w:t xml:space="preserve">EV-C204-030-ruleset-main.json</w:t>
            </w:r>
            <w:r>
              <w:t xml:space="preserve">)</w:t>
            </w:r>
          </w:p>
        </w:tc>
        <w:tc>
          <w:tcPr/>
          <w:p>
            <w:pPr>
              <w:pStyle w:val="Compact"/>
              <w:jc w:val="left"/>
            </w:pPr>
            <w:r>
              <w:t xml:space="preserve">✅</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Archivo generado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Archivo generado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Archivo generado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archivos generados,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EV-C204-030</w:t>
            </w:r>
          </w:p>
        </w:tc>
        <w:tc>
          <w:tcPr/>
          <w:p>
            <w:pPr>
              <w:pStyle w:val="Compact"/>
              <w:jc w:val="left"/>
            </w:pPr>
            <w:r>
              <w:t xml:space="preserve">Configuración real del ruleset</w:t>
            </w:r>
            <w:r>
              <w:t xml:space="preserve"> </w:t>
            </w:r>
            <w:r>
              <w:rPr>
                <w:rStyle w:val="VerbatimChar"/>
              </w:rPr>
              <w:t xml:space="preserve">proteger-main</w:t>
            </w:r>
            <w:r>
              <w:t xml:space="preserve"> </w:t>
            </w:r>
            <w:r>
              <w:t xml:space="preserve">(API de GitHub)</w:t>
            </w:r>
          </w:p>
        </w:tc>
        <w:tc>
          <w:tcPr/>
          <w:p>
            <w:pPr>
              <w:pStyle w:val="Compact"/>
              <w:jc w:val="left"/>
            </w:pPr>
            <w:r>
              <w:rPr>
                <w:rStyle w:val="VerbatimChar"/>
              </w:rPr>
              <w:t xml:space="preserve">capturas/EV-C204-030-ruleset-main.json</w:t>
            </w:r>
          </w:p>
        </w:tc>
        <w:tc>
          <w:tcPr/>
          <w:p>
            <w:pPr>
              <w:pStyle w:val="Compact"/>
              <w:jc w:val="left"/>
            </w:pPr>
            <w:r>
              <w:t xml:space="preserve">✅</w:t>
            </w:r>
          </w:p>
        </w:tc>
      </w:tr>
      <w:tr>
        <w:tc>
          <w:tcPr/>
          <w:p>
            <w:pPr>
              <w:pStyle w:val="Compact"/>
              <w:jc w:val="left"/>
            </w:pPr>
            <w:r>
              <w:t xml:space="preserve">EV-C204-031</w:t>
            </w:r>
          </w:p>
        </w:tc>
        <w:tc>
          <w:tcPr/>
          <w:p>
            <w:pPr>
              <w:pStyle w:val="Compact"/>
              <w:jc w:val="left"/>
            </w:pPr>
            <w:r>
              <w:t xml:space="preserve">Contribuidores del repositorio (Insights → Contributors, 19-sep-2026)</w:t>
            </w:r>
          </w:p>
        </w:tc>
        <w:tc>
          <w:tcPr/>
          <w:p>
            <w:pPr>
              <w:pStyle w:val="Compact"/>
              <w:jc w:val="left"/>
            </w:pPr>
            <w:r>
              <w:rPr>
                <w:rStyle w:val="VerbatimChar"/>
              </w:rPr>
              <w:t xml:space="preserve">capturas/EV-C204-031-contribuidores.png</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r>
        <w:pict>
          <v:rect style="width:0;height:1.5pt" o:hralign="center" o:hrstd="t" o:hr="t"/>
        </w:pict>
      </w:r>
    </w:p>
    <w:bookmarkEnd w:id="22"/>
    <w:bookmarkEnd w:id="23"/>
    <w:bookmarkStart w:id="96"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en Docker local</w:t>
      </w:r>
      <w:r>
        <w:t xml:space="preserve">; la verificación en el Codespace se realizó sobre la consola de Keycloak y la aplicación móvil (EV-C204-003 a 006).</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archivos generados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archivos generados</w:t>
            </w:r>
          </w:p>
        </w:tc>
      </w:tr>
    </w:tbl>
    <w:p>
      <w:pPr>
        <w:pStyle w:val="BlockText"/>
      </w:pPr>
      <w:r>
        <w:t xml:space="preserve">El inventario alimenta el análisis ALE de la Tabla 5 (valor de activos y factor de exposición).</w:t>
      </w:r>
    </w:p>
    <w:bookmarkEnd w:id="53"/>
    <w:bookmarkEnd w:id="54"/>
    <w:bookmarkStart w:id="95" w:name="configuración-del-entorno-paso-a-paso"/>
    <w:p>
      <w:pPr>
        <w:pStyle w:val="Heading2"/>
      </w:pPr>
      <w:r>
        <w:t xml:space="preserve">8. Configuración del entorno (paso a paso)</w:t>
      </w:r>
    </w:p>
    <w:bookmarkStart w:id="71"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del Codespace (detalle en</w:t>
      </w:r>
      <w:r>
        <w:rPr>
          <w:bCs/>
          <w:b/>
        </w:rPr>
        <w:t xml:space="preserve"> </w:t>
      </w:r>
      <w:hyperlink r:id="rId55">
        <w:r>
          <w:rPr>
            <w:rStyle w:val="VerbatimChar"/>
            <w:bCs/>
            <w:b/>
          </w:rPr>
          <w:t xml:space="preserve">reporte-docente-devcontainer.md</w:t>
        </w:r>
      </w:hyperlink>
      <w:r>
        <w:rPr>
          <w:bCs/>
          <w:b/>
        </w:rPr>
        <w:t xml:space="preserve">).</w:t>
      </w:r>
      <w:r>
        <w:t xml:space="preserve"> </w:t>
      </w:r>
      <w:r>
        <w:t xml:space="preserve">El</w:t>
      </w:r>
      <w:r>
        <w:t xml:space="preserve"> </w:t>
      </w:r>
      <w:r>
        <w:rPr>
          <w:rStyle w:val="VerbatimChar"/>
        </w:rPr>
        <w:t xml:space="preserve">.devcontainer/devcontainer.json</w:t>
      </w:r>
      <w:r>
        <w:t xml:space="preserve"> </w:t>
      </w:r>
      <w:r>
        <w:t xml:space="preserve">del</w:t>
      </w:r>
      <w:r>
        <w:t xml:space="preserve"> </w:t>
      </w:r>
      <w:r>
        <w:rPr>
          <w:bCs/>
          <w:b/>
        </w:rPr>
        <w:t xml:space="preserve">zip oficial</w:t>
      </w:r>
      <w:r>
        <w:t xml:space="preserve"> </w:t>
      </w:r>
      <w:r>
        <w:t xml:space="preserve">usa la imagen</w:t>
      </w:r>
      <w:r>
        <w:t xml:space="preserve"> </w:t>
      </w:r>
      <w:r>
        <w:rPr>
          <w:rStyle w:val="VerbatimChar"/>
        </w:rPr>
        <w:t xml:space="preserve">mcr.microsoft.com/devcontainers/javascript-node:20</w:t>
      </w:r>
      <w:r>
        <w:t xml:space="preserve"> </w:t>
      </w:r>
      <w:r>
        <w:t xml:space="preserve">más la característica</w:t>
      </w:r>
      <w:r>
        <w:t xml:space="preserve"> </w:t>
      </w:r>
      <w:r>
        <w:rPr>
          <w:rStyle w:val="VerbatimChar"/>
        </w:rPr>
        <w:t xml:space="preserve">docker-in-docker:2</w:t>
      </w:r>
      <w:r>
        <w:t xml:space="preserve"> </w:t>
      </w:r>
      <w:r>
        <w:t xml:space="preserve">(sin opciones). Al abrir el Codespace, este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la característica y el Codespace pasó a arrancar en menos de un minuto (EV-C204-045).</w:t>
      </w:r>
    </w:p>
    <w:p>
      <w:pPr>
        <w:pStyle w:val="BodyText"/>
      </w:pPr>
      <w:r>
        <w:rPr>
          <w:iCs/>
          <w:i/>
        </w:rPr>
        <w:t xml:space="preserve">Causa (confirmada para la variante con</w:t>
      </w:r>
      <w:r>
        <w:rPr>
          <w:iCs/>
          <w:i/>
        </w:rPr>
        <w:t xml:space="preserve"> </w:t>
      </w:r>
      <w:r>
        <w:rPr>
          <w:rStyle w:val="VerbatimChar"/>
          <w:iCs/>
          <w:i/>
        </w:rPr>
        <w:t xml:space="preserve">docker-outside-of-docker</w:t>
      </w:r>
      <w:r>
        <w:rPr>
          <w:iCs/>
          <w:i/>
        </w:rPr>
        <w:t xml:space="preserve">, inferida para la del zip).</w:t>
      </w:r>
      <w:r>
        <w:t xml:space="preserve"> </w:t>
      </w:r>
      <w:r>
        <w:t xml:space="preserve">Al reproducir el fallo con la configuración alternativa, el registro de creación del Codespace muestra:</w:t>
      </w:r>
      <w:r>
        <w:t xml:space="preserve"> </w:t>
      </w:r>
      <w:r>
        <w:rPr>
          <w:rStyle w:val="VerbatimChar"/>
        </w:rPr>
        <w:t xml:space="preserve">The 'moby' option is not supported on debian 'trixie' because 'moby-cli' and related system packages are not available in that distribution</w:t>
      </w:r>
      <w:r>
        <w:t xml:space="preserve"> </w:t>
      </w:r>
      <w:r>
        <w:t xml:space="preserve">y</w:t>
      </w:r>
      <w:r>
        <w:t xml:space="preserve"> </w:t>
      </w:r>
      <w:r>
        <w:rPr>
          <w:rStyle w:val="VerbatimChar"/>
        </w:rPr>
        <w:t xml:space="preserve">Feature "Docker (docker-outside-of-docker)" failed to install</w:t>
      </w:r>
      <w:r>
        <w:t xml:space="preserve">. La imagen</w:t>
      </w:r>
      <w:r>
        <w:t xml:space="preserve"> </w:t>
      </w:r>
      <w:r>
        <w:rPr>
          <w:rStyle w:val="VerbatimChar"/>
        </w:rPr>
        <w:t xml:space="preserve">javascript-node:20</w:t>
      </w:r>
      <w:r>
        <w:t xml:space="preserve"> </w:t>
      </w:r>
      <w:r>
        <w:t xml:space="preserve">es hoy</w:t>
      </w:r>
      <w:r>
        <w:t xml:space="preserve"> </w:t>
      </w:r>
      <w:r>
        <w:rPr>
          <w:bCs/>
          <w:b/>
        </w:rPr>
        <w:t xml:space="preserve">Debian 13 «trixie»</w:t>
      </w:r>
      <w:r>
        <w:t xml:space="preserve"> </w:t>
      </w:r>
      <w:r>
        <w:t xml:space="preserve">(verificado:</w:t>
      </w:r>
      <w:r>
        <w:t xml:space="preserve"> </w:t>
      </w:r>
      <w:r>
        <w:rPr>
          <w:rStyle w:val="VerbatimChar"/>
        </w:rPr>
        <w:t xml:space="preserve">PRETTY_NAME="Debian GNU/Linux 13 (trixie)"</w:t>
      </w:r>
      <w:r>
        <w:t xml:space="preserve">, Node 20.20.2, igual que la captura EV-C204-046) y las características de Docker instalan por defecto el paquete</w:t>
      </w:r>
      <w:r>
        <w:t xml:space="preserve"> </w:t>
      </w:r>
      <w:r>
        <w:rPr>
          <w:rStyle w:val="VerbatimChar"/>
        </w:rPr>
        <w:t xml:space="preserve">moby</w:t>
      </w:r>
      <w:r>
        <w:t xml:space="preserve">, que no existe en trixie. La característica</w:t>
      </w:r>
      <w:r>
        <w:t xml:space="preserve"> </w:t>
      </w:r>
      <w:r>
        <w:rPr>
          <w:rStyle w:val="VerbatimChar"/>
        </w:rPr>
        <w:t xml:space="preserve">docker-in-docker:2</w:t>
      </w:r>
      <w:r>
        <w:t xml:space="preserve"> </w:t>
      </w:r>
      <w:r>
        <w:t xml:space="preserve">del zip tiene la misma opción por defecto y la misma imagen base, por lo que es</w:t>
      </w:r>
      <w:r>
        <w:t xml:space="preserve"> </w:t>
      </w:r>
      <w:r>
        <w:rPr>
          <w:bCs/>
          <w:b/>
        </w:rPr>
        <w:t xml:space="preserve">muy probable</w:t>
      </w:r>
      <w:r>
        <w:t xml:space="preserve"> </w:t>
      </w:r>
      <w:r>
        <w:t xml:space="preserve">que la causa sea la misma; no se conservó el texto exacto del error de la configuración original, solo su síntoma (modo de recuperación). Nota: una versión anterior de este informe atribuía el fallo al plan gratuito de 2 núcleos; esa hipótesis no tiene respaldo en los registros y se descarta.</w:t>
      </w:r>
    </w:p>
    <w:p>
      <w:pPr>
        <w:pStyle w:val="BodyText"/>
      </w:pPr>
      <w:r>
        <w:rPr>
          <w:iCs/>
          <w:i/>
        </w:rPr>
        <w:t xml:space="preserve">Reporte a la docente.</w:t>
      </w:r>
      <w:r>
        <w:t xml:space="preserve"> </w:t>
      </w:r>
      <w:r>
        <w:t xml:space="preserve">El incidente fue reportado a la docente el 19 de septiembre de 2026 (</w:t>
      </w:r>
      <w:r>
        <w:rPr>
          <w:rStyle w:val="VerbatimChar"/>
        </w:rPr>
        <w:t xml:space="preserve">reporte-docente-devcontainer.md</w:t>
      </w:r>
      <w:r>
        <w:t xml:space="preserve">). Según lo comunicado por el estudiante, la docente indicó que no había experimentado el error, el cual podría obedecer a diferencias en el tipo de cuenta de GitHub, consideró correcto el reporte y aprobó la modificación propuesta al</w:t>
      </w:r>
      <w:r>
        <w:t xml:space="preserve"> </w:t>
      </w:r>
      <w:r>
        <w:rPr>
          <w:rStyle w:val="VerbatimChar"/>
        </w:rPr>
        <w:t xml:space="preserve">devcontainer.json</w:t>
      </w:r>
      <w:r>
        <w:t xml:space="preserve">. La respuesta fue verbal y no se adjunta constancia escrita; la hipótesis sobre el tipo de cuenta no ha sido verificada.</w:t>
      </w:r>
    </w:p>
    <w:p>
      <w:pPr>
        <w:pStyle w:val="BodyText"/>
      </w:pPr>
      <w:r>
        <w:rPr>
          <w:iCs/>
          <w:i/>
        </w:rPr>
        <w:t xml:space="preserve">Solución.</w:t>
      </w:r>
      <w:r>
        <w:t xml:space="preserve"> </w:t>
      </w:r>
      <w:r>
        <w:t xml:space="preserve">La configuración alternativa</w:t>
      </w:r>
      <w:r>
        <w:t xml:space="preserve"> </w:t>
      </w:r>
      <w:r>
        <w:rPr>
          <w:rStyle w:val="VerbatimChar"/>
        </w:rPr>
        <w:t xml:space="preserve">.devcontainer/con-docker/devcontainer.json</w:t>
      </w:r>
      <w:r>
        <w:t xml:space="preserve"> </w:t>
      </w:r>
      <w:r>
        <w:t xml:space="preserve">usa</w:t>
      </w:r>
      <w:r>
        <w:t xml:space="preserve"> </w:t>
      </w:r>
      <w:r>
        <w:rPr>
          <w:rStyle w:val="VerbatimChar"/>
        </w:rPr>
        <w:t xml:space="preserve">docker-outside-of-docker</w:t>
      </w:r>
      <w:r>
        <w:t xml:space="preserve"> </w:t>
      </w:r>
      <w:r>
        <w:t xml:space="preserve">con</w:t>
      </w:r>
      <w:r>
        <w:t xml:space="preserve"> </w:t>
      </w:r>
      <w:r>
        <w:rPr>
          <w:rStyle w:val="VerbatimChar"/>
        </w:rPr>
        <w:t xml:space="preserve">"moby": false</w:t>
      </w:r>
      <w:r>
        <w:t xml:space="preserve">, que es lo que indica el propio mensaje de error (usar el Docker CLI de Docker en lugar de</w:t>
      </w:r>
      <w:r>
        <w:t xml:space="preserve"> </w:t>
      </w:r>
      <w:r>
        <w:rPr>
          <w:rStyle w:val="VerbatimChar"/>
        </w:rPr>
        <w:t xml:space="preserve">moby</w:t>
      </w:r>
      <w:r>
        <w:t xml:space="preserve">).</w:t>
      </w:r>
    </w:p>
    <w:p>
      <w:pPr>
        <w:pStyle w:val="CaptionedFigure"/>
      </w:pPr>
      <w:r>
        <w:drawing>
          <wp:inline>
            <wp:extent cx="5067300" cy="2536319"/>
            <wp:effectExtent b="0" l="0" r="0" t="0"/>
            <wp:docPr descr="EV-C204-043 — Registro de creación del Codespace (creation.log) y mensaje de modo de recuperación" title="" id="57" name="Picture"/>
            <a:graphic>
              <a:graphicData uri="http://schemas.openxmlformats.org/drawingml/2006/picture">
                <pic:pic>
                  <pic:nvPicPr>
                    <pic:cNvPr descr="evidencias/capturas/consola-git/EV-C204-043-screenshot-image1.png" id="58" name="Picture"/>
                    <pic:cNvPicPr>
                      <a:picLocks noChangeArrowheads="1" noChangeAspect="1"/>
                    </pic:cNvPicPr>
                  </pic:nvPicPr>
                  <pic:blipFill>
                    <a:blip r:embed="rId5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60" name="Picture"/>
            <a:graphic>
              <a:graphicData uri="http://schemas.openxmlformats.org/drawingml/2006/picture">
                <pic:pic>
                  <pic:nvPicPr>
                    <pic:cNvPr descr="evidencias/capturas/consola-git/EV-C204-044-screenshot-image2.png" id="61" name="Picture"/>
                    <pic:cNvPicPr>
                      <a:picLocks noChangeArrowheads="1" noChangeAspect="1"/>
                    </pic:cNvPicPr>
                  </pic:nvPicPr>
                  <pic:blipFill>
                    <a:blip r:embed="rId59"/>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3" name="Picture"/>
            <a:graphic>
              <a:graphicData uri="http://schemas.openxmlformats.org/drawingml/2006/picture">
                <pic:pic>
                  <pic:nvPicPr>
                    <pic:cNvPr descr="evidencias/capturas/consola-git/EV-C204-045-screenshot-image3.png" id="64" name="Picture"/>
                    <pic:cNvPicPr>
                      <a:picLocks noChangeArrowheads="1" noChangeAspect="1"/>
                    </pic:cNvPicPr>
                  </pic:nvPicPr>
                  <pic:blipFill>
                    <a:blip r:embed="rId62"/>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6" name="Picture"/>
            <a:graphic>
              <a:graphicData uri="http://schemas.openxmlformats.org/drawingml/2006/picture">
                <pic:pic>
                  <pic:nvPicPr>
                    <pic:cNvPr descr="evidencias/capturas/consola-git/EV-C204-046-screenshot-image4.png" id="67" name="Picture"/>
                    <pic:cNvPicPr>
                      <a:picLocks noChangeArrowheads="1" noChangeAspect="1"/>
                    </pic:cNvPicPr>
                  </pic:nvPicPr>
                  <pic:blipFill>
                    <a:blip r:embed="rId6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Docker en el Codespace:</w:t>
      </w:r>
      <w:r>
        <w:t xml:space="preserve"> </w:t>
      </w:r>
      <w:r>
        <w:t xml:space="preserve">la configuración por defecto (sin Docker) no permite los pasos 6.2 y 7 de la guía (</w:t>
      </w:r>
      <w:r>
        <w:rPr>
          <w:rStyle w:val="VerbatimChar"/>
        </w:rPr>
        <w:t xml:space="preserve">docker compose up</w:t>
      </w:r>
      <w:r>
        <w:t xml:space="preserve">, Keycloak). Para eso se creó la configuración alternativa</w:t>
      </w:r>
      <w:r>
        <w:t xml:space="preserve"> </w:t>
      </w:r>
      <w:r>
        <w:rPr>
          <w:rStyle w:val="VerbatimChar"/>
        </w:rPr>
        <w:t xml:space="preserve">con-docker</w:t>
      </w:r>
      <w:r>
        <w:t xml:space="preserve"> </w:t>
      </w:r>
      <w:r>
        <w:t xml:space="preserve">(</w:t>
      </w:r>
      <w:r>
        <w:rPr>
          <w:iCs/>
          <w:i/>
        </w:rPr>
        <w:t xml:space="preserve">Code → Codespaces → New with options… → CIB-204 DevSecOps (Node 20 + Docker)</w:t>
      </w:r>
      <w:r>
        <w:t xml:space="preserve">) con</w:t>
      </w:r>
      <w:r>
        <w:t xml:space="preserve"> </w:t>
      </w:r>
      <w:r>
        <w:rPr>
          <w:rStyle w:val="VerbatimChar"/>
        </w:rPr>
        <w:t xml:space="preserve">"moby": false</w:t>
      </w:r>
      <w:r>
        <w:t xml:space="preserve">; fue probada por el equipo: en su Codespace la consola de Keycloak (contenedor Docker) responde en el puerto 8080 y el servicio en el 3000 (EV-C204-005 y EV-C204-006), y</w:t>
      </w:r>
      <w:r>
        <w:t xml:space="preserve"> </w:t>
      </w:r>
      <w:r>
        <w:rPr>
          <w:rStyle w:val="VerbatimChar"/>
        </w:rPr>
        <w:t xml:space="preserve">docker --version</w:t>
      </w:r>
      <w:r>
        <w:t xml:space="preserve"> </w:t>
      </w:r>
      <w:r>
        <w:t xml:space="preserve">devuelve</w:t>
      </w:r>
      <w:r>
        <w:t xml:space="preserve"> </w:t>
      </w:r>
      <w:r>
        <w:rPr>
          <w:rStyle w:val="VerbatimChar"/>
        </w:rPr>
        <w:t xml:space="preserve">Docker version 29.8.1, build 4a63305</w:t>
      </w:r>
      <w:r>
        <w:t xml:space="preserve"> </w:t>
      </w:r>
      <w:r>
        <w:t xml:space="preserve">(EV-C204-001b, Codespace «humble giggle», 19-sep-2026). El pipeline de GitHub Actions no depende de esto.</w:t>
      </w:r>
    </w:p>
    <w:p>
      <w:pPr>
        <w:pStyle w:val="CaptionedFigure"/>
      </w:pPr>
      <w:r>
        <w:drawing>
          <wp:inline>
            <wp:extent cx="5067300" cy="3168023"/>
            <wp:effectExtent b="0" l="0" r="0" t="0"/>
            <wp:docPr descr="EV-C204-001b — Codespace corregido con Docker: docker --version → Docker version 29.8.1, build 4a63305" title="" id="69" name="Picture"/>
            <a:graphic>
              <a:graphicData uri="http://schemas.openxmlformats.org/drawingml/2006/picture">
                <pic:pic>
                  <pic:nvPicPr>
                    <pic:cNvPr descr="evidencias/capturas/EV-C204-001b-docker-version.png" id="70" name="Picture"/>
                    <pic:cNvPicPr>
                      <a:picLocks noChangeArrowheads="1" noChangeAspect="1"/>
                    </pic:cNvPicPr>
                  </pic:nvPicPr>
                  <pic:blipFill>
                    <a:blip r:embed="rId68"/>
                    <a:stretch>
                      <a:fillRect/>
                    </a:stretch>
                  </pic:blipFill>
                  <pic:spPr bwMode="auto">
                    <a:xfrm>
                      <a:off x="0" y="0"/>
                      <a:ext cx="5067300" cy="3168023"/>
                    </a:xfrm>
                    <a:prstGeom prst="rect">
                      <a:avLst/>
                    </a:prstGeom>
                    <a:noFill/>
                    <a:ln w="9525">
                      <a:noFill/>
                      <a:headEnd/>
                      <a:tailEnd/>
                    </a:ln>
                  </pic:spPr>
                </pic:pic>
              </a:graphicData>
            </a:graphic>
          </wp:inline>
        </w:drawing>
      </w:r>
    </w:p>
    <w:p>
      <w:pPr>
        <w:pStyle w:val="ImageCaption"/>
      </w:pPr>
      <w:r>
        <w:t xml:space="preserve">EV-C204-001b — Codespace corregido con Docker:</w:t>
      </w:r>
      <w:r>
        <w:t xml:space="preserve"> </w:t>
      </w:r>
      <w:r>
        <w:rPr>
          <w:rStyle w:val="VerbatimChar"/>
        </w:rPr>
        <w:t xml:space="preserve">docker --version</w:t>
      </w:r>
      <w:r>
        <w:t xml:space="preserve"> </w:t>
      </w:r>
      <w:r>
        <w:t xml:space="preserve">→ Docker version 29.8.1, build 4a63305</w:t>
      </w:r>
    </w:p>
    <w:p>
      <w:pPr>
        <w:pStyle w:val="BodyText"/>
      </w:pPr>
      <w:r>
        <w:rPr>
          <w:bCs/>
          <w:b/>
        </w:rPr>
        <w:t xml:space="preserve">Evidencia:</w:t>
      </w:r>
      <w:r>
        <w:t xml:space="preserve"> </w:t>
      </w:r>
      <w:r>
        <w:t xml:space="preserve">EV-C204-043 a EV-C204-046 (EV-C204-001 = 046) y EV-C204-001b (Docker).</w:t>
      </w:r>
    </w:p>
    <w:bookmarkEnd w:id="71"/>
    <w:bookmarkStart w:id="78"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(captura del navegador en el Codespace; transcripción de la misma prueba en EV-C204-023).</w:t>
      </w:r>
    </w:p>
    <w:p>
      <w:pPr>
        <w:pStyle w:val="CaptionedFigure"/>
      </w:pPr>
      <w:r>
        <w:drawing>
          <wp:inline>
            <wp:extent cx="4800600" cy="2336077"/>
            <wp:effectExtent b="0" l="0" r="0" t="0"/>
            <wp:docPr descr="EV-C204-002 — Respuesta de /salud en el Codespace: {&quot;estado&quot;:&quot;ok&quot;,&quot;version&quot;:&quot;remediado-2.0&quot;}" title="" id="73" name="Picture"/>
            <a:graphic>
              <a:graphicData uri="http://schemas.openxmlformats.org/drawingml/2006/picture">
                <pic:pic>
                  <pic:nvPicPr>
                    <pic:cNvPr descr="evidencias/capturas/EV-C204-002-salud.jpeg" id="74" name="Picture"/>
                    <pic:cNvPicPr>
                      <a:picLocks noChangeArrowheads="1" noChangeAspect="1"/>
                    </pic:cNvPicPr>
                  </pic:nvPicPr>
                  <pic:blipFill>
                    <a:blip r:embed="rId72"/>
                    <a:stretch>
                      <a:fillRect/>
                    </a:stretch>
                  </pic:blipFill>
                  <pic:spPr bwMode="auto">
                    <a:xfrm>
                      <a:off x="0" y="0"/>
                      <a:ext cx="4800600" cy="2336077"/>
                    </a:xfrm>
                    <a:prstGeom prst="rect">
                      <a:avLst/>
                    </a:prstGeom>
                    <a:noFill/>
                    <a:ln w="9525">
                      <a:noFill/>
                      <a:headEnd/>
                      <a:tailEnd/>
                    </a:ln>
                  </pic:spPr>
                </pic:pic>
              </a:graphicData>
            </a:graphic>
          </wp:inline>
        </w:drawing>
      </w:r>
    </w:p>
    <w:p>
      <w:pPr>
        <w:pStyle w:val="ImageCaption"/>
      </w:pPr>
      <w:r>
        <w:t xml:space="preserve">EV-C204-002 — Respuesta de</w:t>
      </w:r>
      <w:r>
        <w:t xml:space="preserve"> </w:t>
      </w:r>
      <w:r>
        <w:rPr>
          <w:rStyle w:val="VerbatimChar"/>
        </w:rPr>
        <w:t xml:space="preserve">/salud</w:t>
      </w:r>
      <w:r>
        <w:t xml:space="preserve"> </w:t>
      </w:r>
      <w:r>
        <w:t xml:space="preserve">en el Codespace:</w:t>
      </w:r>
      <w:r>
        <w:t xml:space="preserve"> </w:t>
      </w:r>
      <w:r>
        <w:rPr>
          <w:rStyle w:val="VerbatimChar"/>
        </w:rPr>
        <w:t xml:space="preserve">{"estado":"ok","version":"remediado-2.0"}</w:t>
      </w:r>
    </w:p>
    <w:p>
      <w:pPr>
        <w:pStyle w:val="CaptionedFigure"/>
      </w:pPr>
      <w:r>
        <w:drawing>
          <wp:inline>
            <wp:extent cx="4267200" cy="2370666"/>
            <wp:effectExtent b="0" l="0" r="0" t="0"/>
            <wp:docPr descr="EV-C204-002b — Resumen de la misma consulta elaborado por el asistente de navegador (ChatGPT): URL, HTTP 200 y hora (12:32 CST). No es una captura directa del navegador; la evidencia principal es la imagen anterior" title="" id="76" name="Picture"/>
            <a:graphic>
              <a:graphicData uri="http://schemas.openxmlformats.org/drawingml/2006/picture">
                <pic:pic>
                  <pic:nvPicPr>
                    <pic:cNvPr descr="evidencias/capturas/EV-C204-002b-resumen-chatgpt.png" id="77" name="Picture"/>
                    <pic:cNvPicPr>
                      <a:picLocks noChangeArrowheads="1" noChangeAspect="1"/>
                    </pic:cNvPicPr>
                  </pic:nvPicPr>
                  <pic:blipFill>
                    <a:blip r:embed="rId75"/>
                    <a:stretch>
                      <a:fillRect/>
                    </a:stretch>
                  </pic:blipFill>
                  <pic:spPr bwMode="auto">
                    <a:xfrm>
                      <a:off x="0" y="0"/>
                      <a:ext cx="4267200" cy="2370666"/>
                    </a:xfrm>
                    <a:prstGeom prst="rect">
                      <a:avLst/>
                    </a:prstGeom>
                    <a:noFill/>
                    <a:ln w="9525">
                      <a:noFill/>
                      <a:headEnd/>
                      <a:tailEnd/>
                    </a:ln>
                  </pic:spPr>
                </pic:pic>
              </a:graphicData>
            </a:graphic>
          </wp:inline>
        </w:drawing>
      </w:r>
    </w:p>
    <w:p>
      <w:pPr>
        <w:pStyle w:val="ImageCaption"/>
      </w:pPr>
      <w:r>
        <w:t xml:space="preserve">EV-C204-002b — Resumen de la misma consulta elaborado por el asistente de navegador (ChatGPT): URL, HTTP 200 y hora (12:32 CST).</w:t>
      </w:r>
      <w:r>
        <w:t xml:space="preserve"> </w:t>
      </w:r>
      <w:r>
        <w:rPr>
          <w:bCs/>
          <w:b/>
        </w:rPr>
        <w:t xml:space="preserve">No es una captura directa del navegador</w:t>
      </w:r>
      <w:r>
        <w:t xml:space="preserve">; la evidencia principal es la imagen anterior</w:t>
      </w:r>
    </w:p>
    <w:bookmarkEnd w:id="78"/>
    <w:bookmarkStart w:id="88"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EV-C204-003 a EV-C204-005 (capturas de la consola web de Keycloak en el Codespace) y, además, por API (EV-C204-023).</w:t>
      </w:r>
    </w:p>
    <w:p>
      <w:pPr>
        <w:pStyle w:val="CaptionedFigure"/>
      </w:pPr>
      <w:r>
        <w:drawing>
          <wp:inline>
            <wp:extent cx="5067300" cy="2465860"/>
            <wp:effectExtent b="0" l="0" r="0" t="0"/>
            <wp:docPr descr="EV-C204-003 — Consola de Keycloak: realm appmovil («Welcome to appmovil»)" title="" id="80" name="Picture"/>
            <a:graphic>
              <a:graphicData uri="http://schemas.openxmlformats.org/drawingml/2006/picture">
                <pic:pic>
                  <pic:nvPicPr>
                    <pic:cNvPr descr="evidencias/capturas/EV-C204-003-realm.jpeg" id="81" name="Picture"/>
                    <pic:cNvPicPr>
                      <a:picLocks noChangeArrowheads="1" noChangeAspect="1"/>
                    </pic:cNvPicPr>
                  </pic:nvPicPr>
                  <pic:blipFill>
                    <a:blip r:embed="rId79"/>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EV-C204-003 — Consola de Keycloak: realm</w:t>
      </w:r>
      <w:r>
        <w:t xml:space="preserve"> </w:t>
      </w:r>
      <w:r>
        <w:rPr>
          <w:rStyle w:val="VerbatimChar"/>
        </w:rPr>
        <w:t xml:space="preserve">appmovil</w:t>
      </w:r>
      <w:r>
        <w:t xml:space="preserve"> </w:t>
      </w:r>
      <w:r>
        <w:t xml:space="preserve">(«Welcome to appmovil»)</w:t>
      </w:r>
    </w:p>
    <w:p>
      <w:pPr>
        <w:pStyle w:val="CaptionedFigure"/>
      </w:pPr>
      <w:r>
        <w:drawing>
          <wp:inline>
            <wp:extent cx="5067300" cy="2465860"/>
            <wp:effectExtent b="0" l="0" r="0" t="0"/>
            <wp:docPr descr="EV-C204-004 — Cliente servicio-cifrado (OpenID Connect, habilitado)" title="" id="83" name="Picture"/>
            <a:graphic>
              <a:graphicData uri="http://schemas.openxmlformats.org/drawingml/2006/picture">
                <pic:pic>
                  <pic:nvPicPr>
                    <pic:cNvPr descr="evidencias/capturas/EV-C204-004-cliente.png" id="84" name="Picture"/>
                    <pic:cNvPicPr>
                      <a:picLocks noChangeArrowheads="1" noChangeAspect="1"/>
                    </pic:cNvPicPr>
                  </pic:nvPicPr>
                  <pic:blipFill>
                    <a:blip r:embed="rId82"/>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EV-C204-004 — Cliente</w:t>
      </w:r>
      <w:r>
        <w:t xml:space="preserve"> </w:t>
      </w:r>
      <w:r>
        <w:rPr>
          <w:rStyle w:val="VerbatimChar"/>
        </w:rPr>
        <w:t xml:space="preserve">servicio-cifrado</w:t>
      </w:r>
      <w:r>
        <w:t xml:space="preserve"> </w:t>
      </w:r>
      <w:r>
        <w:t xml:space="preserve">(OpenID Connect, habilitado)</w:t>
      </w:r>
    </w:p>
    <w:p>
      <w:pPr>
        <w:pStyle w:val="CaptionedFigure"/>
      </w:pPr>
      <w:r>
        <w:drawing>
          <wp:inline>
            <wp:extent cx="5067300" cy="2164782"/>
            <wp:effectExtent b="0" l="0" r="0" t="0"/>
            <wp:docPr descr="EV-C204-005 — Consola de Keycloak en el Codespace: realm appmovil, usuario demo habilitado, email verificado, creado el 19-sep-2026" title="" id="86" name="Picture"/>
            <a:graphic>
              <a:graphicData uri="http://schemas.openxmlformats.org/drawingml/2006/picture">
                <pic:pic>
                  <pic:nvPicPr>
                    <pic:cNvPr descr="evidencias/capturas/EV-C204-005-usuario.png" id="87" name="Picture"/>
                    <pic:cNvPicPr>
                      <a:picLocks noChangeArrowheads="1" noChangeAspect="1"/>
                    </pic:cNvPicPr>
                  </pic:nvPicPr>
                  <pic:blipFill>
                    <a:blip r:embed="rId85"/>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EV-C204-005 — Consola de Keycloak en el Codespace: realm</w:t>
      </w:r>
      <w:r>
        <w:t xml:space="preserve"> </w:t>
      </w:r>
      <w:r>
        <w:rPr>
          <w:rStyle w:val="VerbatimChar"/>
        </w:rPr>
        <w:t xml:space="preserve">appmovil</w:t>
      </w:r>
      <w:r>
        <w:t xml:space="preserve">, usuario</w:t>
      </w:r>
      <w:r>
        <w:t xml:space="preserve"> </w:t>
      </w:r>
      <w:r>
        <w:rPr>
          <w:rStyle w:val="VerbatimChar"/>
        </w:rPr>
        <w:t xml:space="preserve">demo</w:t>
      </w:r>
      <w:r>
        <w:t xml:space="preserve"> </w:t>
      </w:r>
      <w:r>
        <w:t xml:space="preserve">habilitado, email verificado, creado el 19-sep-2026</w:t>
      </w:r>
    </w:p>
    <w:p>
      <w:pPr>
        <w:pStyle w:val="BlockText"/>
      </w:pPr>
      <w:r>
        <w:rPr>
          <w:bCs/>
          <w:b/>
        </w:rPr>
        <w:t xml:space="preserve">Nota técnica:</w:t>
      </w:r>
      <w:r>
        <w:t xml:space="preserve"> </w:t>
      </w:r>
      <w:r>
        <w:t xml:space="preserve">el usuario</w:t>
      </w:r>
      <w:r>
        <w:t xml:space="preserve"> </w:t>
      </w:r>
      <w:r>
        <w:rPr>
          <w:rStyle w:val="VerbatimChar"/>
        </w:rPr>
        <w:t xml:space="preserve">demo</w:t>
      </w:r>
      <w:r>
        <w:t xml:space="preserve"> </w:t>
      </w:r>
      <w:r>
        <w:t xml:space="preserve">conserva la acción requerida «Update Password», por lo que no puede obtener un token por contraseña directa hasta retirarla (ver P-28 en la Tabla 6).</w:t>
      </w:r>
    </w:p>
    <w:bookmarkEnd w:id="88"/>
    <w:bookmarkStart w:id="92"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w:t>
      </w:r>
      <w:r>
        <w:t xml:space="preserve"> </w:t>
      </w:r>
      <w:r>
        <w:rPr>
          <w:bCs/>
          <w:b/>
        </w:rPr>
        <w:t xml:space="preserve">al terminar la prueba debe volver a Privado o eliminarse el Codespace</w:t>
      </w:r>
      <w:r>
        <w:t xml:space="preserve">. Además, la app corre en otro origen (puerto 8081), por lo que el servicio debe permitirlo mediante CORS: el</w:t>
      </w:r>
      <w:r>
        <w:t xml:space="preserve"> </w:t>
      </w:r>
      <w:r>
        <w:rPr>
          <w:rStyle w:val="VerbatimChar"/>
        </w:rPr>
        <w:t xml:space="preserve">docker-compose.yml</w:t>
      </w:r>
      <w:r>
        <w:t xml:space="preserve"> </w:t>
      </w:r>
      <w:r>
        <w:t xml:space="preserve">define</w:t>
      </w:r>
      <w:r>
        <w:t xml:space="preserve"> </w:t>
      </w:r>
      <w:r>
        <w:rPr>
          <w:rStyle w:val="VerbatimChar"/>
        </w:rPr>
        <w:t xml:space="preserve">ORIGENES_PERMITIDOS</w:t>
      </w:r>
      <w:r>
        <w:t xml:space="preserve"> </w:t>
      </w:r>
      <w:r>
        <w:t xml:space="preserve">(localhost y, en Codespaces, la URL del puerto 8081 armada con</w:t>
      </w:r>
      <w:r>
        <w:t xml:space="preserve"> </w:t>
      </w:r>
      <w:r>
        <w:rPr>
          <w:rStyle w:val="VerbatimChar"/>
        </w:rPr>
        <w:t xml:space="preserve">CODESPACE_NAME</w:t>
      </w:r>
      <w:r>
        <w:t xml:space="preserve">).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La app se ejecutó en el Codespace del equipo con el acceso apagado (sin token): cifró «Hola CIB-204» y lo descifró de vuelta («Estado: Descifrado OK»). Se probó la app</w:t>
      </w:r>
      <w:r>
        <w:t xml:space="preserve"> </w:t>
      </w:r>
      <w:r>
        <w:rPr>
          <w:bCs/>
          <w:b/>
        </w:rPr>
        <w:t xml:space="preserve">sin</w:t>
      </w:r>
      <w:r>
        <w:t xml:space="preserve"> </w:t>
      </w:r>
      <w:r>
        <w:t xml:space="preserve">identidad; el flujo con token de Keycloak se probó por separado en las 25 comprobaciones de EV-C204-023.</w:t>
      </w:r>
    </w:p>
    <w:p>
      <w:pPr>
        <w:pStyle w:val="BodyText"/>
      </w:pPr>
      <w:r>
        <w:rPr>
          <w:bCs/>
          <w:b/>
        </w:rPr>
        <w:t xml:space="preserve">Configuración de CORS para la app móvil.</w:t>
      </w:r>
      <w:r>
        <w:t xml:space="preserve"> </w:t>
      </w:r>
      <w:r>
        <w:t xml:space="preserve">La app se sirve desde el puerto 8081, origen distinto del servicio (puerto 3000), que solo permitía</w:t>
      </w:r>
      <w:r>
        <w:t xml:space="preserve"> </w:t>
      </w:r>
      <w:r>
        <w:rPr>
          <w:rStyle w:val="VerbatimChar"/>
        </w:rPr>
        <w:t xml:space="preserve">http://localhost:3000</w:t>
      </w:r>
      <w:r>
        <w:t xml:space="preserve">. Para la prueba en el Codespace se agregó localmente la URL del puerto 8081 en</w:t>
      </w:r>
      <w:r>
        <w:t xml:space="preserve"> </w:t>
      </w:r>
      <w:r>
        <w:rPr>
          <w:rStyle w:val="VerbatimChar"/>
        </w:rPr>
        <w:t xml:space="preserve">servidor/config.js</w:t>
      </w:r>
      <w:r>
        <w:t xml:space="preserve">; el cambio no se versionó porque fija una dirección propia de cada Codespace. Se sustituyó por la variable</w:t>
      </w:r>
      <w:r>
        <w:t xml:space="preserve"> </w:t>
      </w:r>
      <w:r>
        <w:rPr>
          <w:rStyle w:val="VerbatimChar"/>
        </w:rPr>
        <w:t xml:space="preserve">ORIGENES_PERMITIDOS</w:t>
      </w:r>
      <w:r>
        <w:t xml:space="preserve"> </w:t>
      </w:r>
      <w:r>
        <w:t xml:space="preserve">en</w:t>
      </w:r>
      <w:r>
        <w:t xml:space="preserve"> </w:t>
      </w:r>
      <w:r>
        <w:rPr>
          <w:rStyle w:val="VerbatimChar"/>
        </w:rPr>
        <w:t xml:space="preserve">docker-compose.yml</w:t>
      </w:r>
      <w:r>
        <w:t xml:space="preserve">, verificada con un origen permitido (recibe</w:t>
      </w:r>
      <w:r>
        <w:t xml:space="preserve"> </w:t>
      </w:r>
      <w:r>
        <w:rPr>
          <w:rStyle w:val="VerbatimChar"/>
        </w:rPr>
        <w:t xml:space="preserve">Access-Control-Allow-Origin</w:t>
      </w:r>
      <w:r>
        <w:t xml:space="preserve">) y uno ajeno (no la recibe). La lista blanca se mantiene: no se abre a</w:t>
      </w:r>
      <w:r>
        <w:t xml:space="preserve"> </w:t>
      </w:r>
      <w:r>
        <w:rPr>
          <w:rStyle w:val="VerbatimChar"/>
        </w:rPr>
        <w:t xml:space="preserve">*</w:t>
      </w:r>
      <w:r>
        <w:t xml:space="preserve">.</w:t>
      </w:r>
    </w:p>
    <w:p>
      <w:pPr>
        <w:pStyle w:val="CaptionedFigure"/>
      </w:pPr>
      <w:r>
        <w:drawing>
          <wp:inline>
            <wp:extent cx="5067300" cy="2164782"/>
            <wp:effectExtent b="0" l="0" r="0" t="0"/>
            <wp:docPr descr="EV-C204-006 — App móvil (Expo web) en el Codespace: URL del servicio, texto «Hola CIB-204», cifrado en base64 y descifrado correcto" title="" id="90" name="Picture"/>
            <a:graphic>
              <a:graphicData uri="http://schemas.openxmlformats.org/drawingml/2006/picture">
                <pic:pic>
                  <pic:nvPicPr>
                    <pic:cNvPr descr="evidencias/capturas/EV-C204-006-app.png" id="91" name="Picture"/>
                    <pic:cNvPicPr>
                      <a:picLocks noChangeArrowheads="1" noChangeAspect="1"/>
                    </pic:cNvPicPr>
                  </pic:nvPicPr>
                  <pic:blipFill>
                    <a:blip r:embed="rId89"/>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EV-C204-006 — App móvil (Expo web) en el Codespace: URL del servicio, texto «Hola CIB-204», cifrado en base64 y descifrado correcto</w:t>
      </w:r>
    </w:p>
    <w:bookmarkEnd w:id="92"/>
    <w:bookmarkStart w:id="93"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1040"/>
        <w:gridCol w:w="3440"/>
        <w:gridCol w:w="344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w:t>
            </w:r>
            <w:r>
              <w:t xml:space="preserve"> </w:t>
            </w:r>
            <w:r>
              <w:rPr>
                <w:rStyle w:val="VerbatimChar"/>
              </w:rPr>
              <w:t xml:space="preserve">e267ad5</w:t>
            </w:r>
          </w:p>
        </w:tc>
        <w:tc>
          <w:tcPr/>
          <w:p>
            <w:pPr>
              <w:pStyle w:val="Compact"/>
              <w:jc w:val="left"/>
            </w:pPr>
            <w:r>
              <w:rPr>
                <w:rStyle w:val="VerbatimChar"/>
              </w:rPr>
              <w:t xml:space="preserve">COPY public ./public</w:t>
            </w:r>
          </w:p>
        </w:tc>
        <w:tc>
          <w:tcPr/>
          <w:p>
            <w:pPr>
              <w:pStyle w:val="Compact"/>
              <w:jc w:val="left"/>
            </w:pPr>
            <w:r>
              <w:t xml:space="preserve">Referencia a un directorio inexistente:</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 los CVEs persistieron (ver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 técnico:</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se origina en el material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la referencia inexistente</w:t>
      </w:r>
      <w:r>
        <w:t xml:space="preserve"> </w:t>
      </w:r>
      <w:r>
        <w:rPr>
          <w:rStyle w:val="VerbatimChar"/>
        </w:rPr>
        <w:t xml:space="preserve">COPY public</w:t>
      </w:r>
      <w:r>
        <w:t xml:space="preserve">;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mantuvo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bookmarkEnd w:id="93"/>
    <w:bookmarkStart w:id="94"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94"/>
    <w:bookmarkEnd w:id="95"/>
    <w:bookmarkEnd w:id="96"/>
    <w:bookmarkStart w:id="114" w:name="parte-ii-implementación-y-entorno"/>
    <w:p>
      <w:pPr>
        <w:pStyle w:val="Heading1"/>
      </w:pPr>
      <w:r>
        <w:t xml:space="preserve">PARTE II — IMPLEMENTACIÓN Y ENTORNO</w:t>
      </w:r>
    </w:p>
    <w:p>
      <w:pPr>
        <w:pStyle w:val="FirstParagraph"/>
      </w:pP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100" w:name="Xb44003f4d804ca91c6a4233e131d0388fe1eb79"/>
    <w:p>
      <w:pPr>
        <w:pStyle w:val="Heading2"/>
      </w:pPr>
      <w:r>
        <w:t xml:space="preserve">9. Módulo de encriptación/desencriptación (RSA)</w:t>
      </w:r>
    </w:p>
    <w:bookmarkStart w:id="97"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97"/>
    <w:bookmarkStart w:id="98"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98"/>
    <w:bookmarkStart w:id="99"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99"/>
    <w:bookmarkEnd w:id="100"/>
    <w:bookmarkStart w:id="104" w:name="funciones-de-utilidad"/>
    <w:p>
      <w:pPr>
        <w:pStyle w:val="Heading2"/>
      </w:pPr>
      <w:r>
        <w:t xml:space="preserve">10. Funciones de utilidad</w:t>
      </w:r>
    </w:p>
    <w:bookmarkStart w:id="101"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101"/>
    <w:bookmarkStart w:id="102"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102"/>
    <w:bookmarkStart w:id="103"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103"/>
    <w:bookmarkEnd w:id="104"/>
    <w:bookmarkStart w:id="108" w:name="autenticación-con-keycloak-jwt"/>
    <w:p>
      <w:pPr>
        <w:pStyle w:val="Heading2"/>
      </w:pPr>
      <w:r>
        <w:t xml:space="preserve">11. Autenticación con Keycloak (JWT)</w:t>
      </w:r>
    </w:p>
    <w:bookmarkStart w:id="105"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105"/>
    <w:bookmarkStart w:id="106"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Ajuste de la validación del token.</w:t>
      </w:r>
      <w:r>
        <w:t xml:space="preserve"> </w:t>
      </w:r>
      <w:r>
        <w:t xml:space="preserve">La primera versión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lo que cerró el hallazgo de Semgrep pero no es compatible con Keycloak, que firma con RS256. Se ajustó en el commit</w:t>
      </w:r>
      <w:r>
        <w:t xml:space="preserve"> </w:t>
      </w:r>
      <w:r>
        <w:rPr>
          <w:rStyle w:val="VerbatimChar"/>
        </w:rPr>
        <w:t xml:space="preserve">8b9b0b6</w:t>
      </w:r>
      <w:r>
        <w:t xml:space="preserve"> </w:t>
      </w:r>
      <w:r>
        <w:t xml:space="preserve">conforme a la guía (§10.5: «valida el token contra el JWKS de Keycloak,</w:t>
      </w:r>
      <w:r>
        <w:t xml:space="preserve"> </w:t>
      </w:r>
      <w:r>
        <w:rPr>
          <w:rStyle w:val="VerbatimChar"/>
        </w:rPr>
        <w:t xml:space="preserve">algorithms: ['RS256']</w:t>
      </w:r>
      <w:r>
        <w:t xml:space="preserve">») y a esta sección, sin agregar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106"/>
    <w:bookmarkStart w:id="107"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107"/>
    <w:bookmarkEnd w:id="108"/>
    <w:bookmarkStart w:id="113" w:name="pipeline-devsecops-las-6-pruebas"/>
    <w:p>
      <w:pPr>
        <w:pStyle w:val="Heading2"/>
      </w:pPr>
      <w:r>
        <w:t xml:space="preserve">12. Pipeline DevSecOps (las 6 pruebas)</w:t>
      </w:r>
    </w:p>
    <w:bookmarkStart w:id="109"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Archivo generado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Configuración de CodeQL respecto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mediante</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 se ejecuta en cada push; sobre el commit final produjo 2 análisis (87 y 17 reglas) con 0 resultados abiertos. Si se requiere el job en el propio workflow, basta desactivar el default setup y restaurarlo.</w:t>
      </w:r>
    </w:p>
    <w:bookmarkEnd w:id="109"/>
    <w:bookmarkStart w:id="110"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110"/>
    <w:bookmarkStart w:id="111"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archivos generados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111"/>
    <w:bookmarkStart w:id="112"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112"/>
    <w:bookmarkEnd w:id="113"/>
    <w:bookmarkEnd w:id="114"/>
    <w:bookmarkStart w:id="177" w:name="parte-iii-diagnóstico-y-remediación"/>
    <w:p>
      <w:pPr>
        <w:pStyle w:val="Heading1"/>
      </w:pPr>
      <w:r>
        <w:t xml:space="preserve">PARTE III — DIAGNÓSTICO Y REMEDIACIÓN</w:t>
      </w:r>
    </w:p>
    <w:bookmarkStart w:id="159" w:name="fase-1-diagnóstico-pipeline-en-rojo"/>
    <w:p>
      <w:pPr>
        <w:pStyle w:val="Heading2"/>
      </w:pPr>
      <w:r>
        <w:t xml:space="preserve">13. Fase 1 — Diagnóstico (pipeline en rojo)</w:t>
      </w:r>
    </w:p>
    <w:bookmarkStart w:id="115"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archivos generados se descargaron íntegros (EV-C204-020, 021, 022, 027 y 028).</w:t>
      </w:r>
    </w:p>
    <w:bookmarkEnd w:id="115"/>
    <w:bookmarkStart w:id="140"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1 a 5 aún no se había integrado el código del servicio: Semgrep y Gitleaks pasan porque no había código que analizar, y los demás jobs fallan de forma consistente con la ausencia del material (según los mensajes de commit «Avance sin zip»). Desde el run 6, con el zip oficial integrado, el pipeline queda en rojo por las vulnerabilidades del código, mientras ZAP, que solo informa, permanece en verde.</w:t>
      </w:r>
    </w:p>
    <w:p>
      <w:pPr>
        <w:pStyle w:val="CaptionedFigure"/>
      </w:pPr>
      <w:r>
        <w:drawing>
          <wp:inline>
            <wp:extent cx="5067300" cy="2536319"/>
            <wp:effectExtent b="0" l="0" r="0" t="0"/>
            <wp:docPr descr="EV-C204-047 — Pestaña Actions: las 8 ejecuciones, todas en rojo" title="" id="117" name="Picture"/>
            <a:graphic>
              <a:graphicData uri="http://schemas.openxmlformats.org/drawingml/2006/picture">
                <pic:pic>
                  <pic:nvPicPr>
                    <pic:cNvPr descr="evidencias/capturas/consola-git/EV-C204-047-screenshot-image5.png" id="118" name="Picture"/>
                    <pic:cNvPicPr>
                      <a:picLocks noChangeArrowheads="1" noChangeAspect="1"/>
                    </pic:cNvPicPr>
                  </pic:nvPicPr>
                  <pic:blipFill>
                    <a:blip r:embed="rId11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120" name="Picture"/>
            <a:graphic>
              <a:graphicData uri="http://schemas.openxmlformats.org/drawingml/2006/picture">
                <pic:pic>
                  <pic:nvPicPr>
                    <pic:cNvPr descr="evidencias/capturas/consola-git/EV-C204-036-screenshot-image13.png" id="121" name="Picture"/>
                    <pic:cNvPicPr>
                      <a:picLocks noChangeArrowheads="1" noChangeAspect="1"/>
                    </pic:cNvPicPr>
                  </pic:nvPicPr>
                  <pic:blipFill>
                    <a:blip r:embed="rId119"/>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23" name="Picture"/>
            <a:graphic>
              <a:graphicData uri="http://schemas.openxmlformats.org/drawingml/2006/picture">
                <pic:pic>
                  <pic:nvPicPr>
                    <pic:cNvPr descr="evidencias/capturas/consola-git/EV-C204-035-screenshot-image12.png" id="124" name="Picture"/>
                    <pic:cNvPicPr>
                      <a:picLocks noChangeArrowheads="1" noChangeAspect="1"/>
                    </pic:cNvPicPr>
                  </pic:nvPicPr>
                  <pic:blipFill>
                    <a:blip r:embed="rId122"/>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26" name="Picture"/>
            <a:graphic>
              <a:graphicData uri="http://schemas.openxmlformats.org/drawingml/2006/picture">
                <pic:pic>
                  <pic:nvPicPr>
                    <pic:cNvPr descr="evidencias/capturas/consola-git/EV-C204-034-screenshot-image11.png" id="127" name="Picture"/>
                    <pic:cNvPicPr>
                      <a:picLocks noChangeArrowheads="1" noChangeAspect="1"/>
                    </pic:cNvPicPr>
                  </pic:nvPicPr>
                  <pic:blipFill>
                    <a:blip r:embed="rId125"/>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29" name="Picture"/>
            <a:graphic>
              <a:graphicData uri="http://schemas.openxmlformats.org/drawingml/2006/picture">
                <pic:pic>
                  <pic:nvPicPr>
                    <pic:cNvPr descr="evidencias/capturas/consola-git/EV-C204-033-screenshot-image10.png" id="130" name="Picture"/>
                    <pic:cNvPicPr>
                      <a:picLocks noChangeArrowheads="1" noChangeAspect="1"/>
                    </pic:cNvPicPr>
                  </pic:nvPicPr>
                  <pic:blipFill>
                    <a:blip r:embed="rId128"/>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32" name="Picture"/>
            <a:graphic>
              <a:graphicData uri="http://schemas.openxmlformats.org/drawingml/2006/picture">
                <pic:pic>
                  <pic:nvPicPr>
                    <pic:cNvPr descr="evidencias/capturas/consola-git/EV-C204-051-screenshot-image9.png" id="133" name="Picture"/>
                    <pic:cNvPicPr>
                      <a:picLocks noChangeArrowheads="1" noChangeAspect="1"/>
                    </pic:cNvPicPr>
                  </pic:nvPicPr>
                  <pic:blipFill>
                    <a:blip r:embed="rId131"/>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35" name="Picture"/>
            <a:graphic>
              <a:graphicData uri="http://schemas.openxmlformats.org/drawingml/2006/picture">
                <pic:pic>
                  <pic:nvPicPr>
                    <pic:cNvPr descr="evidencias/capturas/consola-git/EV-C204-050-screenshot-image8.png" id="136" name="Picture"/>
                    <pic:cNvPicPr>
                      <a:picLocks noChangeArrowheads="1" noChangeAspect="1"/>
                    </pic:cNvPicPr>
                  </pic:nvPicPr>
                  <pic:blipFill>
                    <a:blip r:embed="rId134"/>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38" name="Picture"/>
            <a:graphic>
              <a:graphicData uri="http://schemas.openxmlformats.org/drawingml/2006/picture">
                <pic:pic>
                  <pic:nvPicPr>
                    <pic:cNvPr descr="evidencias/capturas/consola-git/EV-C204-049-screenshot-image7.png" id="139" name="Picture"/>
                    <pic:cNvPicPr>
                      <a:picLocks noChangeArrowheads="1" noChangeAspect="1"/>
                    </pic:cNvPicPr>
                  </pic:nvPicPr>
                  <pic:blipFill>
                    <a:blip r:embed="rId137"/>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40"/>
    <w:bookmarkStart w:id="156"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archivos generados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42" name="Picture"/>
            <a:graphic>
              <a:graphicData uri="http://schemas.openxmlformats.org/drawingml/2006/picture">
                <pic:pic>
                  <pic:nvPicPr>
                    <pic:cNvPr descr="evidencias/capturas/consola-git/EV-C204-048-screenshot-image6.png" id="143" name="Picture"/>
                    <pic:cNvPicPr>
                      <a:picLocks noChangeArrowheads="1" noChangeAspect="1"/>
                    </pic:cNvPicPr>
                  </pic:nvPicPr>
                  <pic:blipFill>
                    <a:blip r:embed="rId141"/>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chivos generados del run #8 con su huella SHA-256: los de reporte-gitleaks, reporte-semgrep y reporte-zap coinciden con los zips instalados (EV-C204-020, 021 y 022)" title="" id="145" name="Picture"/>
            <a:graphic>
              <a:graphicData uri="http://schemas.openxmlformats.org/drawingml/2006/picture">
                <pic:pic>
                  <pic:nvPicPr>
                    <pic:cNvPr descr="evidencias/capturas/consola-git/EV-C204-038-screenshot-image15.png" id="146" name="Picture"/>
                    <pic:cNvPicPr>
                      <a:picLocks noChangeArrowheads="1" noChangeAspect="1"/>
                    </pic:cNvPicPr>
                  </pic:nvPicPr>
                  <pic:blipFill>
                    <a:blip r:embed="rId144"/>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Archivos generados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48" name="Picture"/>
            <a:graphic>
              <a:graphicData uri="http://schemas.openxmlformats.org/drawingml/2006/picture">
                <pic:pic>
                  <pic:nvPicPr>
                    <pic:cNvPr descr="evidencias/capturas/consola-git/EV-C204-040-screenshot-image17.png" id="149" name="Picture"/>
                    <pic:cNvPicPr>
                      <a:picLocks noChangeArrowheads="1" noChangeAspect="1"/>
                    </pic:cNvPicPr>
                  </pic:nvPicPr>
                  <pic:blipFill>
                    <a:blip r:embed="rId147"/>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51" name="Picture"/>
            <a:graphic>
              <a:graphicData uri="http://schemas.openxmlformats.org/drawingml/2006/picture">
                <pic:pic>
                  <pic:nvPicPr>
                    <pic:cNvPr descr="evidencias/capturas/consola-git/EV-C204-041-screenshot-image18.png" id="152" name="Picture"/>
                    <pic:cNvPicPr>
                      <a:picLocks noChangeArrowheads="1" noChangeAspect="1"/>
                    </pic:cNvPicPr>
                  </pic:nvPicPr>
                  <pic:blipFill>
                    <a:blip r:embed="rId150"/>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54" name="Picture"/>
            <a:graphic>
              <a:graphicData uri="http://schemas.openxmlformats.org/drawingml/2006/picture">
                <pic:pic>
                  <pic:nvPicPr>
                    <pic:cNvPr descr="evidencias/capturas/consola-git/EV-C204-042-screenshot-image19.png" id="155" name="Picture"/>
                    <pic:cNvPicPr>
                      <a:picLocks noChangeArrowheads="1" noChangeAspect="1"/>
                    </pic:cNvPicPr>
                  </pic:nvPicPr>
                  <pic:blipFill>
                    <a:blip r:embed="rId153"/>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56"/>
    <w:bookmarkStart w:id="158"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57">
        <w:r>
          <w:rPr>
            <w:rStyle w:val="VerbatimChar"/>
          </w:rPr>
          <w:t xml:space="preserve">docs/tablas/tabla-3-diagnostico.md</w:t>
        </w:r>
      </w:hyperlink>
      <w:r>
        <w:t xml:space="preserve">.</w:t>
      </w:r>
    </w:p>
    <w:p>
      <w:pPr>
        <w:pStyle w:val="BodyText"/>
      </w:pPr>
      <w:r>
        <w:rPr>
          <w:bCs/>
          <w:b/>
        </w:rPr>
        <w:t xml:space="preserve">Observación metodológica.</w:t>
      </w:r>
      <w:r>
        <w:t xml:space="preserve"> </w:t>
      </w:r>
      <w:r>
        <w:t xml:space="preserve">Cuatro debilidades del código oficial no fueron reportadas por ninguna herramienta (RSA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mediante la revisión del código y de sus marcadores</w:t>
      </w:r>
      <w:r>
        <w:t xml:space="preserve"> </w:t>
      </w:r>
      <w:r>
        <w:rPr>
          <w:rStyle w:val="VerbatimChar"/>
        </w:rPr>
        <w:t xml:space="preserve">[VULN-n]</w:t>
      </w:r>
      <w:r>
        <w:t xml:space="preserve">, por lo que el pipeline complementa la revisión de código, pero no la sustituye.</w:t>
      </w:r>
    </w:p>
    <w:bookmarkEnd w:id="158"/>
    <w:bookmarkEnd w:id="159"/>
    <w:bookmarkStart w:id="172" w:name="fase-2-remediación-de-rojo-a-verde"/>
    <w:p>
      <w:pPr>
        <w:pStyle w:val="Heading2"/>
      </w:pPr>
      <w:r>
        <w:t xml:space="preserve">14. Fase 2 — Remediación (de rojo a verde)</w:t>
      </w:r>
    </w:p>
    <w:bookmarkStart w:id="162"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60">
        <w:r>
          <w:rPr>
            <w:rStyle w:val="VerbatimChar"/>
          </w:rPr>
          <w:t xml:space="preserve">docs/tablas/tabla-4-evidencias.md</w:t>
        </w:r>
      </w:hyperlink>
      <w:r>
        <w:t xml:space="preserve">. El playbook de patrones de corrección está en</w:t>
      </w:r>
      <w:r>
        <w:t xml:space="preserve"> </w:t>
      </w:r>
      <w:hyperlink r:id="rId161">
        <w:r>
          <w:rPr>
            <w:rStyle w:val="VerbatimChar"/>
          </w:rPr>
          <w:t xml:space="preserve">docs/remediacion-playbook.md</w:t>
        </w:r>
      </w:hyperlink>
      <w:r>
        <w:t xml:space="preserve">.</w:t>
      </w:r>
    </w:p>
    <w:bookmarkEnd w:id="162"/>
    <w:bookmarkStart w:id="163"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La secuencia refleja el ciclo</w:t>
      </w:r>
      <w:r>
        <w:t xml:space="preserve"> </w:t>
      </w:r>
      <w:r>
        <w:rPr>
          <w:iCs/>
          <w:i/>
        </w:rPr>
        <w:t xml:space="preserve">encontrar → corregir → volver a probar</w:t>
      </w:r>
      <w:r>
        <w:t xml:space="preserve">: la referencia inexistente</w:t>
      </w:r>
      <w:r>
        <w:t xml:space="preserve"> </w:t>
      </w:r>
      <w:r>
        <w:rPr>
          <w:rStyle w:val="VerbatimChar"/>
        </w:rPr>
        <w:t xml:space="preserve">COPY public</w:t>
      </w:r>
      <w:r>
        <w:t xml:space="preserve"> </w:t>
      </w:r>
      <w:r>
        <w:t xml:space="preserve">interrumpió la construcción de la imagen (§8.5), la actualización a</w:t>
      </w:r>
      <w:r>
        <w:t xml:space="preserve"> </w:t>
      </w:r>
      <w:r>
        <w:rPr>
          <w:rStyle w:val="VerbatimChar"/>
        </w:rPr>
        <w:t xml:space="preserve">node:22</w:t>
      </w:r>
      <w:r>
        <w:t xml:space="preserve"> </w:t>
      </w:r>
      <w:r>
        <w:t xml:space="preserve">no eliminó los CVEs y dos correcciones activaron de nuevo Semgrep hasta ser ajustadas.</w:t>
      </w:r>
    </w:p>
    <w:bookmarkEnd w:id="163"/>
    <w:bookmarkStart w:id="170"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EV-C204-012, EV-C204-013, EV-C204-025 y 026.</w:t>
      </w:r>
    </w:p>
    <w:p>
      <w:pPr>
        <w:pStyle w:val="CaptionedFigure"/>
      </w:pPr>
      <w:r>
        <w:drawing>
          <wp:inline>
            <wp:extent cx="5067300" cy="5595496"/>
            <wp:effectExtent b="0" l="0" r="0" t="0"/>
            <wp:docPr descr="EV-C204-013 — Run #27 (35442482331, commit 0fc1c11): los 5 jobs en verde y 5 archivos generados con su huella SHA-256" title="" id="165" name="Picture"/>
            <a:graphic>
              <a:graphicData uri="http://schemas.openxmlformats.org/drawingml/2006/picture">
                <pic:pic>
                  <pic:nvPicPr>
                    <pic:cNvPr descr="evidencias/capturas/EV-C204-013-pipeline-verde.png" id="166" name="Picture"/>
                    <pic:cNvPicPr>
                      <a:picLocks noChangeArrowheads="1" noChangeAspect="1"/>
                    </pic:cNvPicPr>
                  </pic:nvPicPr>
                  <pic:blipFill>
                    <a:blip r:embed="rId164"/>
                    <a:stretch>
                      <a:fillRect/>
                    </a:stretch>
                  </pic:blipFill>
                  <pic:spPr bwMode="auto">
                    <a:xfrm>
                      <a:off x="0" y="0"/>
                      <a:ext cx="5067300" cy="5595496"/>
                    </a:xfrm>
                    <a:prstGeom prst="rect">
                      <a:avLst/>
                    </a:prstGeom>
                    <a:noFill/>
                    <a:ln w="9525">
                      <a:noFill/>
                      <a:headEnd/>
                      <a:tailEnd/>
                    </a:ln>
                  </pic:spPr>
                </pic:pic>
              </a:graphicData>
            </a:graphic>
          </wp:inline>
        </w:drawing>
      </w:r>
    </w:p>
    <w:p>
      <w:pPr>
        <w:pStyle w:val="ImageCaption"/>
      </w:pPr>
      <w:r>
        <w:t xml:space="preserve">EV-C204-013 — Run #27 (35442482331, commit</w:t>
      </w:r>
      <w:r>
        <w:t xml:space="preserve"> </w:t>
      </w:r>
      <w:r>
        <w:rPr>
          <w:rStyle w:val="VerbatimChar"/>
        </w:rPr>
        <w:t xml:space="preserve">0fc1c11</w:t>
      </w:r>
      <w:r>
        <w:t xml:space="preserve">): los 5 jobs en verde y 5 archivos generados con su huella SHA-256</w:t>
      </w:r>
    </w:p>
    <w:p>
      <w:pPr>
        <w:pStyle w:val="BodyText"/>
      </w:pPr>
      <w:r>
        <w:drawing>
          <wp:inline>
            <wp:extent cx="5067300" cy="2352876"/>
            <wp:effectExtent b="0" l="0" r="0" t="0"/>
            <wp:docPr descr="EV-C204-012 — Code scanning (CodeQL): 0 alertas abiertas y 3 cerradas como corregidas («Missing rate limiting», servidor/servidor.js líneas 57, 72 y 86). El aviso rojo «CodeQL is reporting errors» es un mensaje de estado de GitHub visible en ese momento; los datos del repositorio (EV-C204-025) no muestran ningún error en los análisis" title="" id="168" name="Picture"/>
            <a:graphic>
              <a:graphicData uri="http://schemas.openxmlformats.org/drawingml/2006/picture">
                <pic:pic>
                  <pic:nvPicPr>
                    <pic:cNvPr descr="evidencias/capturas/EV-C204-012-codeql-alertas.png" id="169" name="Picture"/>
                    <pic:cNvPicPr>
                      <a:picLocks noChangeArrowheads="1" noChangeAspect="1"/>
                    </pic:cNvPicPr>
                  </pic:nvPicPr>
                  <pic:blipFill>
                    <a:blip r:embed="rId167"/>
                    <a:stretch>
                      <a:fillRect/>
                    </a:stretch>
                  </pic:blipFill>
                  <pic:spPr bwMode="auto">
                    <a:xfrm>
                      <a:off x="0" y="0"/>
                      <a:ext cx="5067300" cy="2352876"/>
                    </a:xfrm>
                    <a:prstGeom prst="rect">
                      <a:avLst/>
                    </a:prstGeom>
                    <a:noFill/>
                    <a:ln w="9525">
                      <a:noFill/>
                      <a:headEnd/>
                      <a:tailEnd/>
                    </a:ln>
                  </pic:spPr>
                </pic:pic>
              </a:graphicData>
            </a:graphic>
          </wp:inline>
        </w:drawing>
      </w:r>
      <w:r>
        <w:t xml:space="preserve"> </w:t>
      </w:r>
      <w:r>
        <w:t xml:space="preserve">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archivos generados del run.</w:t>
      </w:r>
    </w:p>
    <w:bookmarkEnd w:id="170"/>
    <w:bookmarkStart w:id="171" w:name="X33caf07248efaf387dc16bee8c41685eb2c5e33"/>
    <w:p>
      <w:pPr>
        <w:pStyle w:val="Heading3"/>
      </w:pPr>
      <w:r>
        <w:t xml:space="preserve">14.4 Ajustes de conformidad con la guía y con el informe</w:t>
      </w:r>
    </w:p>
    <w:p>
      <w:pPr>
        <w:pStyle w:val="FirstParagraph"/>
      </w:pPr>
      <w:r>
        <w:t xml:space="preserve">La revisión final del código frente a la guía y a este informe dio lugar a cuatro ajustes que el pipeline no detecta; todos fueron implementados y probados: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71"/>
    <w:bookmarkEnd w:id="172"/>
    <w:bookmarkStart w:id="176" w:name="protección-de-la-rama-principal"/>
    <w:p>
      <w:pPr>
        <w:pStyle w:val="Heading2"/>
      </w:pPr>
      <w:r>
        <w:t xml:space="preserve">15. Protección de la rama principal</w:t>
      </w:r>
    </w:p>
    <w:p>
      <w:pPr>
        <w:pStyle w:val="FirstParagraph"/>
      </w:pPr>
      <w:r>
        <w:rPr>
          <w:bCs/>
          <w:b/>
        </w:rPr>
        <w:t xml:space="preserve">Estado: activada el 19-sep-2026 por el titular del repositorio</w:t>
      </w:r>
      <w:r>
        <w:t xml:space="preserve"> </w:t>
      </w:r>
      <w:r>
        <w:t xml:space="preserve">(cambiar la configuración de seguridad de un repositorio es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aplicada (Settings → Rules → Rulesets → ruleset</w:t>
      </w:r>
      <w:r>
        <w:t xml:space="preserve"> </w:t>
      </w:r>
      <w:r>
        <w:rPr>
          <w:rStyle w:val="VerbatimChar"/>
        </w:rPr>
        <w:t xml:space="preserve">proteger-main</w:t>
      </w:r>
      <w:r>
        <w:t xml:space="preserve">, activo, objetivo: rama por defecto</w:t>
      </w:r>
      <w:r>
        <w:t xml:space="preserve"> </w:t>
      </w:r>
      <w:r>
        <w:rPr>
          <w:rStyle w:val="VerbatimChar"/>
        </w:rPr>
        <w:t xml:space="preserve">main</w:t>
      </w:r>
      <w:r>
        <w:t xml:space="preserve">, sin excepciones de</w:t>
      </w:r>
      <w:r>
        <w:t xml:space="preserve"> </w:t>
      </w:r>
      <w:r>
        <w:rPr>
          <w:iCs/>
          <w:i/>
        </w:rPr>
        <w:t xml:space="preserve">bypass</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Se verificó la configuración real con la API de GitHub (</w:t>
      </w:r>
      <w:r>
        <w:rPr>
          <w:rStyle w:val="VerbatimChar"/>
        </w:rPr>
        <w:t xml:space="preserve">EV-C204-030-ruleset-main.json</w:t>
      </w:r>
      <w:r>
        <w:t xml:space="preserve">): reglas</w:t>
      </w:r>
      <w:r>
        <w:t xml:space="preserve"> </w:t>
      </w:r>
      <w:r>
        <w:rPr>
          <w:rStyle w:val="VerbatimChar"/>
        </w:rPr>
        <w:t xml:space="preserve">deletion</w:t>
      </w:r>
      <w:r>
        <w:t xml:space="preserve">,</w:t>
      </w:r>
      <w:r>
        <w:t xml:space="preserve"> </w:t>
      </w:r>
      <w:r>
        <w:rPr>
          <w:rStyle w:val="VerbatimChar"/>
        </w:rPr>
        <w:t xml:space="preserve">non_fast_forward</w:t>
      </w:r>
      <w:r>
        <w:t xml:space="preserve">,</w:t>
      </w:r>
      <w:r>
        <w:t xml:space="preserve"> </w:t>
      </w:r>
      <w:r>
        <w:rPr>
          <w:rStyle w:val="VerbatimChar"/>
        </w:rPr>
        <w:t xml:space="preserve">pull_request</w:t>
      </w:r>
      <w:r>
        <w:t xml:space="preserve"> </w:t>
      </w:r>
      <w:r>
        <w:t xml:space="preserve">(0 aprobaciones) y</w:t>
      </w:r>
      <w:r>
        <w:t xml:space="preserve"> </w:t>
      </w:r>
      <w:r>
        <w:rPr>
          <w:rStyle w:val="VerbatimChar"/>
        </w:rPr>
        <w:t xml:space="preserve">required_status_checks</w:t>
      </w:r>
      <w:r>
        <w:t xml:space="preserve"> </w:t>
      </w:r>
      <w:r>
        <w:t xml:space="preserve">con los cinco nombres exactos del pipeline.</w:t>
      </w:r>
      <w:r>
        <w:t xml:space="preserve"> </w:t>
      </w:r>
      <w:r>
        <w:rPr>
          <w:bCs/>
          <w:b/>
        </w:rPr>
        <w:t xml:space="preserve">Consecuencia:</w:t>
      </w:r>
      <w:r>
        <w:t xml:space="preserve"> </w:t>
      </w:r>
      <w:r>
        <w:t xml:space="preserve">desde este momento todo cambio a</w:t>
      </w:r>
      <w:r>
        <w:t xml:space="preserve"> </w:t>
      </w:r>
      <w:r>
        <w:rPr>
          <w:rStyle w:val="VerbatimChar"/>
        </w:rPr>
        <w:t xml:space="preserve">main</w:t>
      </w:r>
      <w:r>
        <w:t xml:space="preserve"> </w:t>
      </w:r>
      <w:r>
        <w:t xml:space="preserve">entra por</w:t>
      </w:r>
      <w:r>
        <w:t xml:space="preserve"> </w:t>
      </w:r>
      <w:r>
        <w:rPr>
          <w:iCs/>
          <w:i/>
        </w:rPr>
        <w:t xml:space="preserve">pull request</w:t>
      </w:r>
      <w:r>
        <w:t xml:space="preserve"> </w:t>
      </w:r>
      <w:r>
        <w:t xml:space="preserve">y solo se puede fusionar con las cinco pruebas en verde.</w:t>
      </w:r>
    </w:p>
    <w:p>
      <w:pPr>
        <w:pStyle w:val="CaptionedFigure"/>
      </w:pPr>
      <w:r>
        <w:drawing>
          <wp:inline>
            <wp:extent cx="4800600" cy="2686623"/>
            <wp:effectExtent b="0" l="0" r="0" t="0"/>
            <wp:docPr descr="EV-C204-014 — Rulesets del repositorio: proteger-main activo, 4 reglas, 1 rama" title="" id="174" name="Picture"/>
            <a:graphic>
              <a:graphicData uri="http://schemas.openxmlformats.org/drawingml/2006/picture">
                <pic:pic>
                  <pic:nvPicPr>
                    <pic:cNvPr descr="evidencias/capturas/EV-C204-014-proteccion.png" id="175" name="Picture"/>
                    <pic:cNvPicPr>
                      <a:picLocks noChangeArrowheads="1" noChangeAspect="1"/>
                    </pic:cNvPicPr>
                  </pic:nvPicPr>
                  <pic:blipFill>
                    <a:blip r:embed="rId173"/>
                    <a:stretch>
                      <a:fillRect/>
                    </a:stretch>
                  </pic:blipFill>
                  <pic:spPr bwMode="auto">
                    <a:xfrm>
                      <a:off x="0" y="0"/>
                      <a:ext cx="4800600" cy="2686623"/>
                    </a:xfrm>
                    <a:prstGeom prst="rect">
                      <a:avLst/>
                    </a:prstGeom>
                    <a:noFill/>
                    <a:ln w="9525">
                      <a:noFill/>
                      <a:headEnd/>
                      <a:tailEnd/>
                    </a:ln>
                  </pic:spPr>
                </pic:pic>
              </a:graphicData>
            </a:graphic>
          </wp:inline>
        </w:drawing>
      </w:r>
    </w:p>
    <w:p>
      <w:pPr>
        <w:pStyle w:val="ImageCaption"/>
      </w:pPr>
      <w:r>
        <w:t xml:space="preserve">EV-C204-014 — Rulesets del repositorio:</w:t>
      </w:r>
      <w:r>
        <w:t xml:space="preserve"> </w:t>
      </w:r>
      <w:r>
        <w:rPr>
          <w:rStyle w:val="VerbatimChar"/>
        </w:rPr>
        <w:t xml:space="preserve">proteger-main</w:t>
      </w:r>
      <w:r>
        <w:t xml:space="preserve"> </w:t>
      </w:r>
      <w:r>
        <w:t xml:space="preserve">activo, 4 reglas, 1 rama</w:t>
      </w:r>
    </w:p>
    <w:p>
      <w:pPr>
        <w:pStyle w:val="BodyText"/>
      </w:pPr>
      <w:r>
        <w:rPr>
          <w:bCs/>
          <w:b/>
        </w:rPr>
        <w:t xml:space="preserve">Evidencia:</w:t>
      </w:r>
      <w:r>
        <w:t xml:space="preserve"> </w:t>
      </w:r>
      <w:r>
        <w:t xml:space="preserve">EV-C204-014 y EV-C204-030.</w:t>
      </w:r>
    </w:p>
    <w:p>
      <w:r>
        <w:pict>
          <v:rect style="width:0;height:1.5pt" o:hralign="center" o:hrstd="t" o:hr="t"/>
        </w:pict>
      </w:r>
    </w:p>
    <w:bookmarkEnd w:id="176"/>
    <w:bookmarkEnd w:id="177"/>
    <w:bookmarkStart w:id="184" w:name="parte-iv-pruebas-y-riesgos"/>
    <w:p>
      <w:pPr>
        <w:pStyle w:val="Heading1"/>
      </w:pPr>
      <w:r>
        <w:t xml:space="preserve">PARTE IV — PRUEBAS Y RIESGOS</w:t>
      </w:r>
    </w:p>
    <w:bookmarkStart w:id="179"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78">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79"/>
    <w:bookmarkStart w:id="181"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80">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Ejecutadas por el equipo en el Codespace:</w:t>
      </w:r>
      <w:r>
        <w:t xml:space="preserve"> </w:t>
      </w:r>
      <w:r>
        <w:t xml:space="preserve">P-27 (app móvil, EV-C204-006) y P-28 (Keycloak, EV-C204-003 a 005).</w:t>
      </w:r>
    </w:p>
    <w:bookmarkEnd w:id="181"/>
    <w:bookmarkStart w:id="183" w:name="plantilla-de-diagnóstico-del-curso"/>
    <w:p>
      <w:pPr>
        <w:pStyle w:val="Heading2"/>
      </w:pPr>
      <w:r>
        <w:t xml:space="preserve">18. Plantilla de diagnóstico del curso</w:t>
      </w:r>
    </w:p>
    <w:p>
      <w:pPr>
        <w:pStyle w:val="BlockText"/>
      </w:pPr>
      <w:r>
        <w:t xml:space="preserve">Ver</w:t>
      </w:r>
      <w:r>
        <w:t xml:space="preserve"> </w:t>
      </w:r>
      <w:hyperlink r:id="rId182">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83"/>
    <w:bookmarkEnd w:id="184"/>
    <w:bookmarkStart w:id="245" w:name="parte-v-cierre-académico"/>
    <w:p>
      <w:pPr>
        <w:pStyle w:val="Heading1"/>
      </w:pPr>
      <w:r>
        <w:t xml:space="preserve">PARTE V — CIERRE ACADÉMICO</w:t>
      </w:r>
    </w:p>
    <w:bookmarkStart w:id="185"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85"/>
    <w:bookmarkStart w:id="186"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Un pipeline en verde no equivale, por sí solo, a la corrección funcional del servicio.</w:t>
      </w:r>
      <w:r>
        <w:t xml:space="preserve"> </w:t>
      </w:r>
      <w:r>
        <w:t xml:space="preserve">La validación de tokens contra Keycloak, el hash de OAEP, la bitácora de operaciones y el límite de entrada requirieron pruebas funcionales contra un Keycloak 24.0 y la revisión del código frente a la guía, además de las herramientas automáticas.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Cada corrección requiere verificación posterior.</w:t>
      </w:r>
      <w:r>
        <w:t xml:space="preserve"> </w:t>
      </w:r>
      <w:r>
        <w:t xml:space="preserve">Durante la remediación, la referencia inexistente</w:t>
      </w:r>
      <w:r>
        <w:t xml:space="preserve"> </w:t>
      </w:r>
      <w:r>
        <w:rPr>
          <w:rStyle w:val="VerbatimChar"/>
        </w:rPr>
        <w:t xml:space="preserve">COPY public</w:t>
      </w:r>
      <w:r>
        <w:t xml:space="preserve"> </w:t>
      </w:r>
      <w:r>
        <w:t xml:space="preserve">interrumpió la construcción de la imagen y dos ajustes volvieron a activar Semgrep, lo que confirma la necesidad de verificar tras cada cambio.</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Keycloak funcionaron en el Codespace del equipo (EV-C204-005 y 006); Docker 29.8.1 verificado en el Codespace corregido (EV-C204-001b); las llaves RSA se generan en memoria y se pierden al reiniciar (adecuado para un laboratorio, no para producción).</w:t>
      </w:r>
    </w:p>
    <w:bookmarkEnd w:id="186"/>
    <w:bookmarkStart w:id="187"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Mantener la protección de</w:t>
      </w:r>
      <w:r>
        <w:rPr>
          <w:bCs/>
          <w:b/>
        </w:rPr>
        <w:t xml:space="preserve"> </w:t>
      </w:r>
      <w:r>
        <w:rPr>
          <w:rStyle w:val="VerbatimChar"/>
          <w:bCs/>
          <w:b/>
        </w:rPr>
        <w:t xml:space="preserve">main</w:t>
      </w:r>
      <w:r>
        <w:t xml:space="preserve"> </w:t>
      </w:r>
      <w:r>
        <w:t xml:space="preserve">(§15, ya activa) y, si el equipo crece, exigir al menos una aprobación de revisión.</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la observación metodológica de §13.4.</w:t>
      </w:r>
    </w:p>
    <w:bookmarkEnd w:id="187"/>
    <w:bookmarkStart w:id="188"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88"/>
    <w:bookmarkStart w:id="189"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89"/>
    <w:bookmarkStart w:id="190"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Uso de herramientas de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90"/>
    <w:bookmarkStart w:id="228" w:name="anexo-a-tablas-16-completas"/>
    <w:p>
      <w:pPr>
        <w:pStyle w:val="Heading2"/>
      </w:pPr>
      <w:r>
        <w:t xml:space="preserve">Anexo A — Tablas 1–6 completas</w:t>
      </w:r>
    </w:p>
    <w:bookmarkStart w:id="196" w:name="tabla-1-requisitos-de-seguridad"/>
    <w:p>
      <w:pPr>
        <w:pStyle w:val="Heading3"/>
      </w:pPr>
      <w:r>
        <w:t xml:space="preserve">Tabla 1 — Requisitos de seguridad</w:t>
      </w:r>
    </w:p>
    <w:p>
      <w:pPr>
        <w:pStyle w:val="BlockText"/>
      </w:pPr>
      <w:r>
        <w:t xml:space="preserve">Primer Avance. Define qué debe proteger el sistema antes de tocar código.</w:t>
      </w:r>
      <w:r>
        <w:t xml:space="preserve"> </w:t>
      </w:r>
      <w:r>
        <w:t xml:space="preserve">Marco de referencia: OWASP SAMM, NIST SSDF, OWASP ASVS y OWASP MASVS.</w:t>
      </w:r>
    </w:p>
    <w:bookmarkStart w:id="191"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91"/>
    <w:bookmarkStart w:id="192"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92"/>
    <w:bookmarkStart w:id="193"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93"/>
    <w:bookmarkStart w:id="194"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94"/>
    <w:bookmarkStart w:id="195" w:name="relación-con-otras-secciones"/>
    <w:p>
      <w:pPr>
        <w:pStyle w:val="Heading4"/>
      </w:pPr>
      <w:r>
        <w:t xml:space="preserve">Relación con otras secciones</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95"/>
    <w:bookmarkEnd w:id="196"/>
    <w:bookmarkStart w:id="202" w:name="tabla-2-amenazas-stride"/>
    <w:p>
      <w:pPr>
        <w:pStyle w:val="Heading3"/>
      </w:pPr>
      <w:r>
        <w:t xml:space="preserve">Tabla 2 — Amenazas STRIDE</w:t>
      </w:r>
    </w:p>
    <w:p>
      <w:pPr>
        <w:pStyle w:val="BlockText"/>
      </w:pPr>
      <w:r>
        <w:t xml:space="preserve">Primer Avance. Modelado de amenazas con STRIDE (Microsoft): por cada amenaza, qué componente afecta, un ejemplo de ataque y cómo se frena.</w:t>
      </w:r>
    </w:p>
    <w:bookmarkStart w:id="197"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97"/>
    <w:bookmarkStart w:id="198"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98"/>
    <w:bookmarkStart w:id="199"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99"/>
    <w:bookmarkStart w:id="200"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200"/>
    <w:bookmarkStart w:id="201" w:name="relación-con-otras-secciones-1"/>
    <w:p>
      <w:pPr>
        <w:pStyle w:val="Heading4"/>
      </w:pPr>
      <w:r>
        <w:t xml:space="preserve">Relación con otras secciones</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201"/>
    <w:bookmarkEnd w:id="202"/>
    <w:bookmarkStart w:id="208" w:name="X88e3b57aa7f7cbbca5e2ce00a2ca14142f424a2"/>
    <w:p>
      <w:pPr>
        <w:pStyle w:val="Heading3"/>
      </w:pPr>
      <w:r>
        <w:t xml:space="preserve">Tabla 3 — Diagnóstico de seguridad (Fase 1, pipeline en rojo)</w:t>
      </w:r>
    </w:p>
    <w:p>
      <w:pPr>
        <w:pStyle w:val="BlockText"/>
      </w:pP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archivos generados), EV-C204-027 (SBOM) y EV-C204-028 (log de los jobs en rojo); capturas de pantalla EV-C204-033 a EV-C204-051.</w:t>
      </w:r>
    </w:p>
    <w:bookmarkStart w:id="203"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203"/>
    <w:bookmarkStart w:id="204"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Cobertura por herramienta.</w:t>
      </w:r>
      <w:r>
        <w:t xml:space="preserve"> </w:t>
      </w:r>
      <w:r>
        <w:t xml:space="preserve">El job SCA se detuvo en</w:t>
      </w:r>
      <w:r>
        <w:t xml:space="preserve"> </w:t>
      </w:r>
      <w:r>
        <w:rPr>
          <w:rStyle w:val="VerbatimChar"/>
        </w:rPr>
        <w:t xml:space="preserve">npm audit</w:t>
      </w:r>
      <w:r>
        <w:t xml:space="preserve"> </w:t>
      </w:r>
      <w:r>
        <w:t xml:space="preserve">(código de salida 1) antes de ejecutar Trivy (fs), por lo que el hallazgo de dependencias de la imagen queda cubierto por H-02 y H-07. Los hallazgos H-06, H-10, H-12 y H-16 son debilidades del código oficial no reportadas por las herramientas automáticas y se identificaron mediante revisión del código, que complementa al pipeline.</w:t>
      </w:r>
    </w:p>
    <w:bookmarkEnd w:id="204"/>
    <w:bookmarkStart w:id="205"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205"/>
    <w:bookmarkStart w:id="206"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206"/>
    <w:bookmarkStart w:id="207"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207"/>
    <w:bookmarkEnd w:id="208"/>
    <w:bookmarkStart w:id="211" w:name="X37972edf4fadebafaabacd263fa60fae156b3b2"/>
    <w:p>
      <w:pPr>
        <w:pStyle w:val="Heading3"/>
      </w:pPr>
      <w:r>
        <w:t xml:space="preserve">Tabla 4 — Evidencia antes/después (Fase 2, de rojo a verde)</w:t>
      </w:r>
    </w:p>
    <w:p>
      <w:pPr>
        <w:pStyle w:val="BlockText"/>
      </w:pP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209"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209"/>
    <w:bookmarkStart w:id="210"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constituye un commit independiente, con mensaje descriptivo y la ejecución que lo verifica, conforme a la rúbrica («Pruebas y ajustes de código»). Los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 </w:t>
      </w:r>
      <w:r>
        <w:t xml:space="preserve">y</w:t>
      </w:r>
      <w:r>
        <w:t xml:space="preserve"> </w:t>
      </w:r>
      <w:r>
        <w:rPr>
          <w:rStyle w:val="VerbatimChar"/>
        </w:rPr>
        <w:t xml:space="preserve">8b9b0b6</w:t>
      </w:r>
      <w:r>
        <w:t xml:space="preserve"> </w:t>
      </w:r>
      <w:r>
        <w:t xml:space="preserve">corresponden a ajustes intermedios dentro del ciclo</w:t>
      </w:r>
      <w:r>
        <w:t xml:space="preserve"> </w:t>
      </w:r>
      <w:r>
        <w:rPr>
          <w:iCs/>
          <w:i/>
        </w:rPr>
        <w:t xml:space="preserve">encontrar → corregir → volver a probar</w:t>
      </w:r>
      <w:r>
        <w:t xml:space="preserve">.</w:t>
      </w:r>
    </w:p>
    <w:bookmarkEnd w:id="210"/>
    <w:bookmarkEnd w:id="211"/>
    <w:bookmarkStart w:id="220" w:name="tabla-5-cálculo-de-riesgo"/>
    <w:p>
      <w:pPr>
        <w:pStyle w:val="Heading3"/>
      </w:pPr>
      <w:r>
        <w:t xml:space="preserve">Tabla 5 — Cálculo de riesgo</w:t>
      </w:r>
    </w:p>
    <w:p>
      <w:pPr>
        <w:pStyle w:val="BlockText"/>
      </w:pPr>
      <w:r>
        <w:t xml:space="preserve">Probabilidad e impacto se calcularon con los hallazgos confirmados de la Fase 1 (Tabla 3), y el riesgo residual con la evidencia de la ejecución 35442482331 (Tabla 4). Los valores de P e I corresponden a una valoración fundamentada del equipo con la escala indicada; no son mediciones.</w:t>
      </w:r>
    </w:p>
    <w:bookmarkStart w:id="212"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212"/>
    <w:bookmarkStart w:id="213"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213"/>
    <w:bookmarkStart w:id="216" w:name="análisis-gerencial-complementario"/>
    <w:p>
      <w:pPr>
        <w:pStyle w:val="Heading4"/>
      </w:pPr>
      <w:r>
        <w:t xml:space="preserve">Análisis gerencial complementario</w:t>
      </w:r>
    </w:p>
    <w:bookmarkStart w:id="214"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214"/>
    <w:bookmarkStart w:id="215"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215"/>
    <w:bookmarkEnd w:id="216"/>
    <w:bookmarkStart w:id="217"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217"/>
    <w:bookmarkStart w:id="218"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218"/>
    <w:bookmarkStart w:id="219" w:name="relación-con-otras-secciones-2"/>
    <w:p>
      <w:pPr>
        <w:pStyle w:val="Heading4"/>
      </w:pPr>
      <w:r>
        <w:t xml:space="preserve">Relación con otras secciones</w:t>
      </w:r>
    </w:p>
    <w:p>
      <w:pPr>
        <w:pStyle w:val="FirstParagraph"/>
      </w:pPr>
      <w:r>
        <w:t xml:space="preserve">Esta tabla alimenta: informe §16, la plantilla de diagnóstico y la Tabla 4.</w:t>
      </w:r>
    </w:p>
    <w:bookmarkEnd w:id="219"/>
    <w:bookmarkEnd w:id="220"/>
    <w:bookmarkStart w:id="227" w:name="tabla-6-documentación-de-pruebas"/>
    <w:p>
      <w:pPr>
        <w:pStyle w:val="Heading3"/>
      </w:pPr>
      <w:r>
        <w:t xml:space="preserve">Tabla 6 — Documentación de pruebas</w:t>
      </w:r>
    </w:p>
    <w:p>
      <w:pPr>
        <w:pStyle w:val="BlockText"/>
      </w:pPr>
      <w:r>
        <w:t xml:space="preserve">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221"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221"/>
    <w:bookmarkStart w:id="222"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222"/>
    <w:bookmarkStart w:id="223"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223"/>
    <w:bookmarkStart w:id="224"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224"/>
    <w:bookmarkStart w:id="225"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225"/>
    <w:bookmarkStart w:id="226" w:name="X8a95880c961ad3037e5a2ad01059107ef6af684"/>
    <w:p>
      <w:pPr>
        <w:pStyle w:val="Heading4"/>
      </w:pPr>
      <w:r>
        <w:t xml:space="preserve">Pruebas ejecutadas por el equipo en el Codespace</w:t>
      </w:r>
    </w:p>
    <w:tbl>
      <w:tblPr>
        <w:tblStyle w:val="Table"/>
        <w:tblW w:type="pct" w:w="5000"/>
        <w:tblLook w:firstRow="1" w:lastRow="0" w:firstColumn="0" w:lastColumn="0" w:noHBand="0" w:noVBand="0" w:val="0020"/>
        <w:jc w:val="start"/>
      </w:tblPr>
      <w:tblGrid>
        <w:gridCol w:w="399"/>
        <w:gridCol w:w="1999"/>
        <w:gridCol w:w="1999"/>
        <w:gridCol w:w="1119"/>
        <w:gridCol w:w="1999"/>
        <w:gridCol w:w="399"/>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Texto «Hola CIB-204», URL pública del puerto 3000, sin token (</w:t>
            </w:r>
            <w:r>
              <w:rPr>
                <w:rStyle w:val="VerbatimChar"/>
              </w:rPr>
              <w:t xml:space="preserve">AUTH_ENABLED=false</w:t>
            </w:r>
            <w:r>
              <w:t xml:space="preserve">)</w:t>
            </w:r>
          </w:p>
        </w:tc>
        <w:tc>
          <w:tcPr/>
          <w:p>
            <w:pPr>
              <w:pStyle w:val="Compact"/>
              <w:jc w:val="left"/>
            </w:pPr>
            <w:r>
              <w:t xml:space="preserve">Cifrado y descifrado correctos</w:t>
            </w:r>
          </w:p>
        </w:tc>
        <w:tc>
          <w:tcPr/>
          <w:p>
            <w:pPr>
              <w:pStyle w:val="Compact"/>
              <w:jc w:val="left"/>
            </w:pPr>
            <w:r>
              <w:t xml:space="preserve">«Descifrado OK»: la app mostró el cifrado en base64 y recuperó «Hola CIB-204» (EV-C204-006)</w:t>
            </w:r>
          </w:p>
        </w:tc>
        <w:tc>
          <w:tcPr/>
          <w:p>
            <w:pPr>
              <w:pStyle w:val="Compact"/>
              <w:jc w:val="left"/>
            </w:pPr>
            <w:r>
              <w:t xml:space="preserve">✅</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Usuario</w:t>
            </w:r>
            <w:r>
              <w:t xml:space="preserve"> </w:t>
            </w:r>
            <w:r>
              <w:rPr>
                <w:rStyle w:val="VerbatimChar"/>
              </w:rPr>
              <w:t xml:space="preserve">demo</w:t>
            </w:r>
            <w:r>
              <w:t xml:space="preserve"> </w:t>
            </w:r>
            <w:r>
              <w:t xml:space="preserve">en el realm</w:t>
            </w:r>
            <w:r>
              <w:t xml:space="preserve"> </w:t>
            </w:r>
            <w:r>
              <w:rPr>
                <w:rStyle w:val="VerbatimChar"/>
              </w:rPr>
              <w:t xml:space="preserve">appmovil</w:t>
            </w:r>
          </w:p>
        </w:tc>
        <w:tc>
          <w:tcPr/>
          <w:p>
            <w:pPr>
              <w:pStyle w:val="Compact"/>
              <w:jc w:val="left"/>
            </w:pPr>
            <w:r>
              <w:t xml:space="preserve">Usuario creado y habilitado</w:t>
            </w:r>
          </w:p>
        </w:tc>
        <w:tc>
          <w:tcPr/>
          <w:p>
            <w:pPr>
              <w:pStyle w:val="Compact"/>
              <w:jc w:val="left"/>
            </w:pPr>
            <w:r>
              <w:t xml:space="preserve">Realm</w:t>
            </w:r>
            <w:r>
              <w:t xml:space="preserve"> </w:t>
            </w:r>
            <w:r>
              <w:rPr>
                <w:rStyle w:val="VerbatimChar"/>
              </w:rPr>
              <w:t xml:space="preserve">appmovil</w:t>
            </w:r>
            <w:r>
              <w:t xml:space="preserve">, cliente</w:t>
            </w:r>
            <w:r>
              <w:t xml:space="preserve"> </w:t>
            </w:r>
            <w:r>
              <w:rPr>
                <w:rStyle w:val="VerbatimChar"/>
              </w:rPr>
              <w:t xml:space="preserve">servicio-cifrado</w:t>
            </w:r>
            <w:r>
              <w:t xml:space="preserve"> </w:t>
            </w:r>
            <w:r>
              <w:t xml:space="preserve">y usuario</w:t>
            </w:r>
            <w:r>
              <w:t xml:space="preserve"> </w:t>
            </w:r>
            <w:r>
              <w:rPr>
                <w:rStyle w:val="VerbatimChar"/>
              </w:rPr>
              <w:t xml:space="preserve">demo</w:t>
            </w:r>
            <w:r>
              <w:t xml:space="preserve"> </w:t>
            </w:r>
            <w:r>
              <w:t xml:space="preserve">habilitado con email verificado, todos en la consola del Codespace (EV-C204-003, 004 y 005)</w:t>
            </w:r>
          </w:p>
        </w:tc>
        <w:tc>
          <w:tcPr/>
          <w:p>
            <w:pPr>
              <w:pStyle w:val="Compact"/>
              <w:jc w:val="left"/>
            </w:pPr>
            <w:r>
              <w:t xml:space="preserve">✅</w:t>
            </w:r>
          </w:p>
        </w:tc>
      </w:tr>
    </w:tbl>
    <w:p>
      <w:pPr>
        <w:pStyle w:val="BlockText"/>
      </w:pPr>
      <w:r>
        <w:rPr>
          <w:bCs/>
          <w:b/>
        </w:rPr>
        <w:t xml:space="preserve">Observación sobre EV-C204-005:</w:t>
      </w:r>
      <w:r>
        <w:t xml:space="preserve"> </w:t>
      </w:r>
      <w:r>
        <w:t xml:space="preserve">el usuario aparece con la acción requerida «</w:t>
      </w:r>
      <w:r>
        <w:rPr>
          <w:bCs/>
          <w:b/>
        </w:rPr>
        <w:t xml:space="preserve">Update Password</w:t>
      </w:r>
      <w:r>
        <w:t xml:space="preserve">». Con esa acción pendiente,</w:t>
      </w:r>
      <w:r>
        <w:t xml:space="preserve"> </w:t>
      </w:r>
      <w:r>
        <w:rPr>
          <w:rStyle w:val="VerbatimChar"/>
        </w:rPr>
        <w:t xml:space="preserve">demo</w:t>
      </w:r>
      <w:r>
        <w:t xml:space="preserve"> </w:t>
      </w:r>
      <w:r>
        <w:rPr>
          <w:bCs/>
          <w:b/>
        </w:rPr>
        <w:t xml:space="preserve">no puede obtener un token</w:t>
      </w:r>
      <w:r>
        <w:t xml:space="preserve"> </w:t>
      </w:r>
      <w:r>
        <w:t xml:space="preserve">por contraseña directa (Keycloak exige cambiar la clave primero). La prueba de la app (P-27) no lo necesita porque se hizo con el acceso apagado. Para probar la app</w:t>
      </w:r>
      <w:r>
        <w:t xml:space="preserve"> </w:t>
      </w:r>
      <w:r>
        <w:rPr>
          <w:bCs/>
          <w:b/>
        </w:rPr>
        <w:t xml:space="preserve">con token</w:t>
      </w:r>
      <w:r>
        <w:t xml:space="preserve"> </w:t>
      </w:r>
      <w:r>
        <w:t xml:space="preserve">hay que quitar esa acción del usuario (campo «Required user actions») o crear la contraseña con «Temporary» desactivado.</w:t>
      </w:r>
    </w:p>
    <w:bookmarkEnd w:id="226"/>
    <w:bookmarkEnd w:id="227"/>
    <w:bookmarkEnd w:id="228"/>
    <w:bookmarkStart w:id="229" w:name="relación-con-otras-secciones-3"/>
    <w:p>
      <w:pPr>
        <w:pStyle w:val="Heading2"/>
      </w:pPr>
      <w:r>
        <w:t xml:space="preserve">Relación con otras secciones</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229"/>
    <w:bookmarkStart w:id="230"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archivos generados del run 35442482331 (</w:t>
      </w:r>
      <w:r>
        <w:rPr>
          <w:rStyle w:val="VerbatimChar"/>
        </w:rPr>
        <w:t xml:space="preserve">bash scripts/verificar-evidencia.sh 35442482331</w:t>
      </w:r>
      <w:r>
        <w:t xml:space="preserve">). Los tres zips de la Fase 1 son idénticos a los archivos generados del run 35365578175, cuya huella SHA-256 se ve en la captura EV-C204-038.</w:t>
      </w:r>
    </w:p>
    <w:p>
      <w:r>
        <w:pict>
          <v:rect style="width:0;height:1.5pt" o:hralign="center" o:hrstd="t" o:hr="t"/>
        </w:pict>
      </w:r>
    </w:p>
    <w:bookmarkEnd w:id="230"/>
    <w:bookmarkStart w:id="231"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31"/>
    <w:bookmarkStart w:id="232"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188"/>
        <w:gridCol w:w="1663"/>
        <w:gridCol w:w="506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Descripción</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 inicial del proyecto DevSecOps CIB-204: documentación, tablas, evidencias, pipeline y entorno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Plan de acción con cobertura de la rúbrica y datos del curso validados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Repo privado durante el desarrollo; público al finalizar (CodeQL)</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Avance sin zip: validación de objetivos, Tablas 1-2 completas, Parte I del informe, figuras SVG, playbook de remediac…</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Avance sin zip (2): Parte II del informe (diseño RSA/JWT/pipeline), Tablas 3-5-6 pre-llenadas, casos de abuso, invent…</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 material oficial (zip CIB-204 §17): 13 vulnerabilidades reales VULN-1..13 con CWE (RSA-PKCS1/1024, .env con A…</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Anexo F cierre §17: informe maestro renderizado en PDF (15 pag, pdflatex limpio) y DOCX con acentos ok; manifiesto SH…</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devcontainer: quita docker-in-docker (causa recovery-mode en plan gratis 2-core); pasa a imagen Node 20 ligera para a…</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remediacion(servidor): cierra 13 hallazgos SAST para pipeline verde Fase 2</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fix(imagen): quita COPY public residuo que rompia el build (Trivy+ZAP+SBOM en cascada)</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fix(imagen): base node:22-bookworm-slim cierra CVE-2026-76642/76643 de Trivy (util-linux 2.40 parcheado)</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docs(informe): §8 documenta correccion del Dockerfile (COPY public no era del zip) y CodeQL default setup</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fix(pipeline): fija acciones a SHA completo (16 hallazgos supply chain Semgrep) y suprime falso positivo CSRF (API JW…</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fix(imagen): multi-stage node:24-trixie-slim + apt upgrade + quita npm del runtime; Trivy 0 hallazgos con –ignore-un…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docs(informe): §8.5/§8.6 y playbook DoD actualizados con pipeline verde (5 jobs + CodeQL default setup) y riesgo resi…</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fix(servidor): FIX-17 Permissions-Policy (camera/mic/geo/payment/usb=()) cierra hallazgo Low de ZAP ’Permissions Poli…</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fix(servidor): FIX-18 excluye docs/ del SAST Semgrep (.semgrepignore + –exclude) y pasa CSRF a nosemgrep inline en s…</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docs(evidencias): manifiesto SHA-256 canónico regenerado y coincidente con los 4 EV descargados del run verde 3540583…</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docs(evidencias): EV-C204-018..051 — evidencia completa del cierre FIX-18: PPT/PDF de la consola Git del usuario + 19…</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fix(evidencias): FIX-18 — convergencia byte-exacta de EV-C204-010 (sbom) y EV-C204-011 (zap.html) con los archivos generados …</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docs(evidencias): FIX-18 cierre — EV-C204-010 sbom y EV-C204-011 zap re-instalados byte-exactos desde el run verde 35…</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docs(informe): FIX-18 cierre — cito tus 19 slides EV-C204-033..051 individualmente en §12.6 del informe, cada una en …</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docs(evidencias): FIX-18 cierre — Anexo I con las 19 capturas de consola Git individualizadas EV-C204-033..051 (hashe…</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docs(auditoria): INSTRUCCIONES-AUDITORIA-AI.md — handoff autocontenido para auditoría externa por IA: qué/cómo/por-qu…</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fix(auth): valida tokens de Keycloak con RS256 + JWKS (guia 10.5, informe 11.2)</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test(auth): secreto HS256 aleatorio en la prueba (Semgrep jwt-hardcode lo marcaba como credencial fija)</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fix(servidor): FIX-19 limite de peticiones por IP (CodeQL js/missing-rate-limiting)</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fix(servidor): FIX-20 OAEP-SHA256 explicito y FIX-21 bitacora de operaciones</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test(e2e): altera un caracter central de la firma (el ultimo caracter base64 no cambia los bytes)</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fix(servidor): FIX-22 limite de entrada = capacidad real de RSA-OAEP (190 bytes)</w:t>
            </w:r>
          </w:p>
        </w:tc>
      </w:tr>
    </w:tbl>
    <w:p>
      <w:r>
        <w:pict>
          <v:rect style="width:0;height:1.5pt" o:hralign="center" o:hrstd="t" o:hr="t"/>
        </w:pict>
      </w:r>
    </w:p>
    <w:bookmarkEnd w:id="232"/>
    <w:bookmarkStart w:id="233"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346"/>
        <w:gridCol w:w="2930"/>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 · ⏳ entrega formal a la docente</w:t>
            </w:r>
          </w:p>
        </w:tc>
      </w:tr>
    </w:tbl>
    <w:p>
      <w:pPr>
        <w:pStyle w:val="BlockText"/>
      </w:pPr>
      <w:r>
        <w:t xml:space="preserve">Las fechas exactas de entrega figuran en</w:t>
      </w:r>
      <w:r>
        <w:t xml:space="preserve"> </w:t>
      </w:r>
      <w:r>
        <w:rPr>
          <w:rStyle w:val="VerbatimChar"/>
        </w:rPr>
        <w:t xml:space="preserve">docs/datos-del-curso.md</w:t>
      </w:r>
      <w:r>
        <w:t xml:space="preserve"> </w:t>
      </w:r>
      <w:r>
        <w:t xml:space="preserve">y siguen marcadas «confirmar fecha con la docente».</w:t>
      </w:r>
    </w:p>
    <w:p>
      <w:r>
        <w:pict>
          <v:rect style="width:0;height:1.5pt" o:hralign="center" o:hrstd="t" o:hr="t"/>
        </w:pict>
      </w:r>
    </w:p>
    <w:bookmarkEnd w:id="233"/>
    <w:bookmarkStart w:id="237" w:name="X97195745177c874f01ad80e4dce35521f49f2f2"/>
    <w:p>
      <w:pPr>
        <w:pStyle w:val="Heading2"/>
      </w:pPr>
      <w:r>
        <w:t xml:space="preserve">Anexo F — Guía de lectura (evidencias, siglas y archivos)</w:t>
      </w:r>
    </w:p>
    <w:bookmarkStart w:id="234"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34"/>
    <w:bookmarkStart w:id="235"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35"/>
    <w:bookmarkStart w:id="236"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docs/reporte-docente-devcontainer.md</w:t>
            </w:r>
          </w:p>
        </w:tc>
        <w:tc>
          <w:tcPr/>
          <w:p>
            <w:pPr>
              <w:pStyle w:val="Compact"/>
              <w:jc w:val="left"/>
            </w:pPr>
            <w:r>
              <w:t xml:space="preserve">Reporte a la docente sobre el</w:t>
            </w:r>
            <w:r>
              <w:t xml:space="preserve"> </w:t>
            </w:r>
            <w:r>
              <w:rPr>
                <w:rStyle w:val="VerbatimChar"/>
              </w:rPr>
              <w:t xml:space="preserve">devcontainer.json</w:t>
            </w:r>
            <w:r>
              <w:t xml:space="preserve"> </w:t>
            </w:r>
            <w:r>
              <w:t xml:space="preserve">del zip oficial (remitido; modificación aprobada)</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36"/>
    <w:bookmarkEnd w:id="237"/>
    <w:bookmarkStart w:id="238"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archivos generados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38"/>
    <w:bookmarkStart w:id="242" w:name="X2782e6bdd096a4159aea4c165492fc89c4f6544"/>
    <w:p>
      <w:pPr>
        <w:pStyle w:val="Heading2"/>
      </w:pPr>
      <w:r>
        <w:t xml:space="preserve">Anexo H — Uso de herramientas de inteligencia artificial</w:t>
      </w:r>
    </w:p>
    <w:p>
      <w:pPr>
        <w:pStyle w:val="FirstParagraph"/>
      </w:pPr>
      <w:r>
        <w:t xml:space="preserve">En el desarrollo de este proyecto se utilizaron herramientas de inteligencia artificial (asistentes de codificación y de navegador) como apoyo auxiliar en la depuración de código, la revisión de estándares de seguridad, la elaboración de documentación y la auditoría de consistencia entre el código, las pruebas y el informe. Las decisiones técnicas y de seguridad, la ejecución y validación del laboratorio en el Codespace, la toma de evidencias y la entrega son responsabilidad de los integrantes del equipo. El código fuente base es el material oficial del curso.</w:t>
      </w:r>
    </w:p>
    <w:p>
      <w:pPr>
        <w:pStyle w:val="BodyText"/>
      </w:pPr>
      <w:r>
        <w:t xml:space="preserve">Como evidencia de la proporción de esta participación, la sección</w:t>
      </w:r>
      <w:r>
        <w:t xml:space="preserve"> </w:t>
      </w:r>
      <w:r>
        <w:rPr>
          <w:iCs/>
          <w:i/>
        </w:rPr>
        <w:t xml:space="preserve">Insights → Contributors</w:t>
      </w:r>
      <w:r>
        <w:t xml:space="preserve"> </w:t>
      </w:r>
      <w:r>
        <w:t xml:space="preserve">del repositorio (rama</w:t>
      </w:r>
      <w:r>
        <w:t xml:space="preserve"> </w:t>
      </w:r>
      <w:r>
        <w:rPr>
          <w:rStyle w:val="VerbatimChar"/>
        </w:rPr>
        <w:t xml:space="preserve">main</w:t>
      </w:r>
      <w:r>
        <w:t xml:space="preserve">, sin commits de fusión; captura del 19 de septiembre de 2026) registra</w:t>
      </w:r>
      <w:r>
        <w:t xml:space="preserve"> </w:t>
      </w:r>
      <w:r>
        <w:rPr>
          <w:bCs/>
          <w:b/>
        </w:rPr>
        <w:t xml:space="preserve">38 commits a nombre del estudiante</w:t>
      </w:r>
      <w:r>
        <w:t xml:space="preserve"> </w:t>
      </w:r>
      <w:r>
        <w:t xml:space="preserve">(23 223 líneas añadidas y 2 677 eliminadas), frente a</w:t>
      </w:r>
      <w:r>
        <w:t xml:space="preserve"> </w:t>
      </w:r>
      <w:r>
        <w:rPr>
          <w:bCs/>
          <w:b/>
        </w:rPr>
        <w:t xml:space="preserve">14 commits asociados a la herramienta de IA</w:t>
      </w:r>
      <w:r>
        <w:t xml:space="preserve"> </w:t>
      </w:r>
      <w:r>
        <w:t xml:space="preserve">(9 788 líneas añadidas y 721 eliminadas).</w:t>
      </w:r>
    </w:p>
    <w:p>
      <w:pPr>
        <w:pStyle w:val="CaptionedFigure"/>
      </w:pPr>
      <w:r>
        <w:drawing>
          <wp:inline>
            <wp:extent cx="5067300" cy="2601529"/>
            <wp:effectExtent b="0" l="0" r="0" t="0"/>
            <wp:docPr descr="EV-C204-031 — GitHub, Insights → Contributors: 38 commits del estudiante (edovega) y 14 asociados a la herramienta de IA" title="" id="240" name="Picture"/>
            <a:graphic>
              <a:graphicData uri="http://schemas.openxmlformats.org/drawingml/2006/picture">
                <pic:pic>
                  <pic:nvPicPr>
                    <pic:cNvPr descr="evidencias/capturas/EV-C204-031-contribuidores.png" id="241" name="Picture"/>
                    <pic:cNvPicPr>
                      <a:picLocks noChangeArrowheads="1" noChangeAspect="1"/>
                    </pic:cNvPicPr>
                  </pic:nvPicPr>
                  <pic:blipFill>
                    <a:blip r:embed="rId239"/>
                    <a:stretch>
                      <a:fillRect/>
                    </a:stretch>
                  </pic:blipFill>
                  <pic:spPr bwMode="auto">
                    <a:xfrm>
                      <a:off x="0" y="0"/>
                      <a:ext cx="5067300" cy="2601529"/>
                    </a:xfrm>
                    <a:prstGeom prst="rect">
                      <a:avLst/>
                    </a:prstGeom>
                    <a:noFill/>
                    <a:ln w="9525">
                      <a:noFill/>
                      <a:headEnd/>
                      <a:tailEnd/>
                    </a:ln>
                  </pic:spPr>
                </pic:pic>
              </a:graphicData>
            </a:graphic>
          </wp:inline>
        </w:drawing>
      </w:r>
    </w:p>
    <w:p>
      <w:pPr>
        <w:pStyle w:val="ImageCaption"/>
      </w:pPr>
      <w:r>
        <w:t xml:space="preserve">EV-C204-031 — GitHub, Insights → Contributors: 38 commits del estudiante (edovega) y 14 asociados a la herramienta de IA</w:t>
      </w:r>
    </w:p>
    <w:p>
      <w:r>
        <w:pict>
          <v:rect style="width:0;height:1.5pt" o:hralign="center" o:hrstd="t" o:hr="t"/>
        </w:pict>
      </w:r>
    </w:p>
    <w:bookmarkEnd w:id="242"/>
    <w:bookmarkStart w:id="243"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 de archivos generados con 5 archivos generados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43"/>
    <w:bookmarkStart w:id="244"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44"/>
    <w:bookmarkEnd w:id="2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72" Target="media/rId72.jpg" /><Relationship Type="http://schemas.openxmlformats.org/officeDocument/2006/relationships/image" Id="rId75" Target="media/rId75.png" /><Relationship Type="http://schemas.openxmlformats.org/officeDocument/2006/relationships/image" Id="rId79" Target="media/rId79.jp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73" Target="media/rId173.png" /><Relationship Type="http://schemas.openxmlformats.org/officeDocument/2006/relationships/image" Id="rId239" Target="media/rId239.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116" Target="media/rId116.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82" Target="plantilla-diagnostico.md" TargetMode="External" /><Relationship Type="http://schemas.openxmlformats.org/officeDocument/2006/relationships/hyperlink" Id="rId161"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7" Target="tablas/tabla-3-diagnostico.md" TargetMode="External" /><Relationship Type="http://schemas.openxmlformats.org/officeDocument/2006/relationships/hyperlink" Id="rId160" Target="tablas/tabla-4-evidencias.md" TargetMode="External" /><Relationship Type="http://schemas.openxmlformats.org/officeDocument/2006/relationships/hyperlink" Id="rId178" Target="tablas/tabla-5-riesgo.md" TargetMode="External" /><Relationship Type="http://schemas.openxmlformats.org/officeDocument/2006/relationships/hyperlink" Id="rId180"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82" Target="plantilla-diagnostico.md" TargetMode="External" /><Relationship Type="http://schemas.openxmlformats.org/officeDocument/2006/relationships/hyperlink" Id="rId161"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7" Target="tablas/tabla-3-diagnostico.md" TargetMode="External" /><Relationship Type="http://schemas.openxmlformats.org/officeDocument/2006/relationships/hyperlink" Id="rId160" Target="tablas/tabla-4-evidencias.md" TargetMode="External" /><Relationship Type="http://schemas.openxmlformats.org/officeDocument/2006/relationships/hyperlink" Id="rId178" Target="tablas/tabla-5-riesgo.md" TargetMode="External" /><Relationship Type="http://schemas.openxmlformats.org/officeDocument/2006/relationships/hyperlink" Id="rId180"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2026-09-20T02:35:03Z</dcterms:created>
  <dcterms:modified xsi:type="dcterms:W3CDTF">2026-09-20T02:35:03Z</dcterms:modified>
</cp:coreProperties>
</file>

<file path=docProps/custom.xml><?xml version="1.0" encoding="utf-8"?>
<Properties xmlns="http://schemas.openxmlformats.org/officeDocument/2006/custom-properties" xmlns:vt="http://schemas.openxmlformats.org/officeDocument/2006/docPropsVTypes"/>
</file>