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jpg" ContentType="image/jpeg"/>
  <Override PartName="/word/media/rId72.png" ContentType="image/png"/>
  <Override PartName="/word/media/rId76.jpg" ContentType="image/jpeg"/>
  <Override PartName="/word/media/rId79.png" ContentType="image/png"/>
  <Override PartName="/word/media/rId82.png" ContentType="image/png"/>
  <Override PartName="/word/media/rId86.png" ContentType="image/png"/>
  <Override PartName="/word/media/rId164.png" ContentType="image/png"/>
  <Override PartName="/word/media/rId161.png" ContentType="image/png"/>
  <Override PartName="/word/media/rId170.png" ContentType="image/png"/>
  <Override PartName="/word/media/rId125.png" ContentType="image/png"/>
  <Override PartName="/word/media/rId122.png" ContentType="image/png"/>
  <Override PartName="/word/media/rId119.png" ContentType="image/png"/>
  <Override PartName="/word/media/rId116.png" ContentType="image/png"/>
  <Override PartName="/word/media/rId141.png" ContentType="image/png"/>
  <Override PartName="/word/media/rId144.png" ContentType="image/png"/>
  <Override PartName="/word/media/rId147.png" ContentType="image/png"/>
  <Override PartName="/word/media/rId150.png" ContentType="image/png"/>
  <Override PartName="/word/media/rId56.png" ContentType="image/png"/>
  <Override PartName="/word/media/rId59.png" ContentType="image/png"/>
  <Override PartName="/word/media/rId62.png" ContentType="image/png"/>
  <Override PartName="/word/media/rId65.png" ContentType="image/png"/>
  <Override PartName="/word/media/rId113.png" ContentType="image/png"/>
  <Override PartName="/word/media/rId138.png" ContentType="image/png"/>
  <Override PartName="/word/media/rId134.png" ContentType="image/png"/>
  <Override PartName="/word/media/rId131.png" ContentType="image/png"/>
  <Override PartName="/word/media/rId128.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rPr>
          <w:bCs/>
          <w:b/>
        </w:rPr>
        <w:t xml:space="preserve">Cómo leer este informe.</w:t>
      </w:r>
      <w:r>
        <w:t xml:space="preserve"> </w:t>
      </w:r>
      <w:r>
        <w:t xml:space="preserve">El informe sigue la estructura que exige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w:t>
      </w:r>
      <w:r>
        <w:t xml:space="preserve">verificable con</w:t>
      </w:r>
      <w:r>
        <w:t xml:space="preserve"> </w:t>
      </w:r>
      <w:r>
        <w:rPr>
          <w:rStyle w:val="VerbatimChar"/>
        </w:rPr>
        <w:t xml:space="preserve">docs/evidencias/manifiesto-sha256.txt</w:t>
      </w:r>
      <w:r>
        <w:t xml:space="preserve">. Lo que no pudo verificarse se indica como</w:t>
      </w:r>
      <w:r>
        <w:t xml:space="preserve"> </w:t>
      </w:r>
      <w:r>
        <w:rPr>
          <w:bCs/>
          <w:b/>
        </w:rPr>
        <w:t xml:space="preserve">pendiente del equipo</w:t>
      </w:r>
      <w:r>
        <w:t xml:space="preserve"> </w:t>
      </w:r>
      <w:r>
        <w:t xml:space="preserve">en lugar de darse por hecho.</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950"/>
        <w:gridCol w:w="2376"/>
        <w:gridCol w:w="2613"/>
        <w:gridCol w:w="1980"/>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w:t>
            </w:r>
            <w:r>
              <w:rPr>
                <w:rStyle w:val="VerbatimChar"/>
              </w:rPr>
              <w:t xml:space="preserve">docker --version</w:t>
            </w:r>
            <w:r>
              <w:t xml:space="preserve"> </w:t>
            </w:r>
            <w:r>
              <w:t xml:space="preserve">no aparece en la captura)</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 en el Codespace</w:t>
            </w:r>
          </w:p>
        </w:tc>
        <w:tc>
          <w:tcPr/>
          <w:p>
            <w:pPr>
              <w:pStyle w:val="Compact"/>
              <w:jc w:val="left"/>
            </w:pPr>
            <w:r>
              <w:rPr>
                <w:rStyle w:val="VerbatimChar"/>
              </w:rPr>
              <w:t xml:space="preserve">capturas/EV-C204-002-salud.jpeg</w:t>
            </w:r>
            <w:r>
              <w:t xml:space="preserve"> </w:t>
            </w:r>
            <w:r>
              <w:t xml:space="preserve">y resumen</w:t>
            </w:r>
            <w:r>
              <w:t xml:space="preserve"> </w:t>
            </w:r>
            <w:r>
              <w:rPr>
                <w:rStyle w:val="VerbatimChar"/>
              </w:rPr>
              <w:t xml:space="preserve">EV-C204-002b-resumen-chatgpt.png</w:t>
            </w:r>
            <w:r>
              <w:t xml:space="preserve"> </w:t>
            </w:r>
            <w:r>
              <w:t xml:space="preserve">(+ transcripción:</w:t>
            </w:r>
            <w:r>
              <w:t xml:space="preserve"> </w:t>
            </w:r>
            <w:r>
              <w:rPr>
                <w:rStyle w:val="VerbatimChar"/>
              </w:rPr>
              <w:t xml:space="preserve">EV-C204-023-pruebas-e2e-keycloak.txt</w:t>
            </w:r>
            <w:r>
              <w:t xml:space="preserve">, P-09)</w:t>
            </w:r>
          </w:p>
        </w:tc>
        <w:tc>
          <w:tcPr/>
          <w:p>
            <w:pPr>
              <w:pStyle w:val="Compact"/>
              <w:jc w:val="left"/>
            </w:pPr>
            <w:r>
              <w:t xml:space="preserve">✅</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r>
              <w:t xml:space="preserve"> </w:t>
            </w:r>
            <w:r>
              <w:t xml:space="preserve">(consola web del Codespace)</w:t>
            </w:r>
          </w:p>
        </w:tc>
        <w:tc>
          <w:tcPr/>
          <w:p>
            <w:pPr>
              <w:pStyle w:val="Compact"/>
              <w:jc w:val="left"/>
            </w:pPr>
            <w:r>
              <w:rPr>
                <w:rStyle w:val="VerbatimChar"/>
              </w:rPr>
              <w:t xml:space="preserve">capturas/EV-C204-003-realm.jpeg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r>
              <w:t xml:space="preserve"> </w:t>
            </w:r>
            <w:r>
              <w:t xml:space="preserve">(consola web del Codespace)</w:t>
            </w:r>
          </w:p>
        </w:tc>
        <w:tc>
          <w:tcPr/>
          <w:p>
            <w:pPr>
              <w:pStyle w:val="Compact"/>
              <w:jc w:val="left"/>
            </w:pPr>
            <w:r>
              <w:rPr>
                <w:rStyle w:val="VerbatimChar"/>
              </w:rPr>
              <w:t xml:space="preserve">capturas/EV-C204-004-cliente.png</w:t>
            </w:r>
            <w:r>
              <w:t xml:space="preserve"> </w:t>
            </w:r>
            <w:r>
              <w:t xml:space="preserve">(+ datos, ídem)</w:t>
            </w:r>
          </w:p>
        </w:tc>
        <w:tc>
          <w:tcPr/>
          <w:p>
            <w:pPr>
              <w:pStyle w:val="Compact"/>
              <w:jc w:val="left"/>
            </w:pPr>
            <w:r>
              <w:t xml:space="preserve">✅</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r>
              <w:t xml:space="preserve"> </w:t>
            </w:r>
            <w:r>
              <w:t xml:space="preserve">(consola web del Codespace)</w:t>
            </w:r>
          </w:p>
        </w:tc>
        <w:tc>
          <w:tcPr/>
          <w:p>
            <w:pPr>
              <w:pStyle w:val="Compact"/>
              <w:jc w:val="left"/>
            </w:pPr>
            <w:r>
              <w:rPr>
                <w:rStyle w:val="VerbatimChar"/>
              </w:rPr>
              <w:t xml:space="preserve">capturas/EV-C204-005-usuario.png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EV-C204-006</w:t>
            </w:r>
          </w:p>
        </w:tc>
        <w:tc>
          <w:tcPr/>
          <w:p>
            <w:pPr>
              <w:pStyle w:val="Compact"/>
              <w:jc w:val="left"/>
            </w:pPr>
            <w:r>
              <w:t xml:space="preserve">App móvil cifrando/descifrando en el Codespace</w:t>
            </w:r>
          </w:p>
        </w:tc>
        <w:tc>
          <w:tcPr/>
          <w:p>
            <w:pPr>
              <w:pStyle w:val="Compact"/>
              <w:jc w:val="left"/>
            </w:pPr>
            <w:r>
              <w:rPr>
                <w:rStyle w:val="VerbatimChar"/>
              </w:rPr>
              <w:t xml:space="preserve">capturas/EV-C204-006-app.png</w:t>
            </w:r>
          </w:p>
        </w:tc>
        <w:tc>
          <w:tcPr/>
          <w:p>
            <w:pPr>
              <w:pStyle w:val="Compact"/>
              <w:jc w:val="left"/>
            </w:pP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 0 abiertas, 3 cerradas</w:t>
            </w:r>
          </w:p>
        </w:tc>
        <w:tc>
          <w:tcPr/>
          <w:p>
            <w:pPr>
              <w:pStyle w:val="Compact"/>
              <w:jc w:val="left"/>
            </w:pPr>
            <w:r>
              <w:rPr>
                <w:rStyle w:val="VerbatimChar"/>
              </w:rPr>
              <w:t xml:space="preserve">capturas/EV-C204-012-codeql-alertas.png</w:t>
            </w:r>
            <w:r>
              <w:t xml:space="preserve"> </w:t>
            </w:r>
            <w:r>
              <w:t xml:space="preserve">(+ datos:</w:t>
            </w:r>
            <w:r>
              <w:t xml:space="preserve"> </w:t>
            </w:r>
            <w:r>
              <w:rPr>
                <w:rStyle w:val="VerbatimChar"/>
              </w:rPr>
              <w:t xml:space="preserve">EV-C204-025-codeql-alertas.json</w:t>
            </w:r>
            <w:r>
              <w:t xml:space="preserve">)</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 run #27 (35442482331)</w:t>
            </w:r>
          </w:p>
        </w:tc>
        <w:tc>
          <w:tcPr/>
          <w:p>
            <w:pPr>
              <w:pStyle w:val="Compact"/>
              <w:jc w:val="left"/>
            </w:pPr>
            <w:r>
              <w:rPr>
                <w:rStyle w:val="VerbatimChar"/>
              </w:rPr>
              <w:t xml:space="preserve">capturas/EV-C204-013-pipeline-verde.png</w:t>
            </w:r>
            <w:r>
              <w:t xml:space="preserve"> </w:t>
            </w:r>
            <w:r>
              <w:t xml:space="preserve">(+ transcripción:</w:t>
            </w:r>
            <w:r>
              <w:t xml:space="preserve"> </w:t>
            </w:r>
            <w:r>
              <w:rPr>
                <w:rStyle w:val="VerbatimChar"/>
              </w:rPr>
              <w:t xml:space="preserve">EV-C204-026-run-verde.txt</w:t>
            </w:r>
            <w:r>
              <w:t xml:space="preserve">)</w:t>
            </w:r>
          </w:p>
        </w:tc>
        <w:tc>
          <w:tcPr/>
          <w:p>
            <w:pPr>
              <w:pStyle w:val="Compact"/>
              <w:jc w:val="left"/>
            </w:pPr>
            <w:r>
              <w:t xml:space="preserve">✅</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 (ruleset</w:t>
            </w:r>
            <w:r>
              <w:t xml:space="preserve"> </w:t>
            </w:r>
            <w:r>
              <w:rPr>
                <w:rStyle w:val="VerbatimChar"/>
              </w:rPr>
              <w:t xml:space="preserve">proteger-main</w:t>
            </w:r>
            <w:r>
              <w:t xml:space="preserve">)</w:t>
            </w:r>
          </w:p>
        </w:tc>
        <w:tc>
          <w:tcPr/>
          <w:p>
            <w:pPr>
              <w:pStyle w:val="Compact"/>
              <w:jc w:val="left"/>
            </w:pPr>
            <w:r>
              <w:rPr>
                <w:rStyle w:val="VerbatimChar"/>
              </w:rPr>
              <w:t xml:space="preserve">capturas/EV-C204-014-proteccion.png</w:t>
            </w:r>
            <w:r>
              <w:t xml:space="preserve"> </w:t>
            </w:r>
            <w:r>
              <w:t xml:space="preserve">(+ configuración:</w:t>
            </w:r>
            <w:r>
              <w:t xml:space="preserve"> </w:t>
            </w:r>
            <w:r>
              <w:rPr>
                <w:rStyle w:val="VerbatimChar"/>
              </w:rPr>
              <w:t xml:space="preserve">EV-C204-030-ruleset-main.json</w:t>
            </w:r>
            <w:r>
              <w:t xml:space="preserve">)</w:t>
            </w:r>
          </w:p>
        </w:tc>
        <w:tc>
          <w:tcPr/>
          <w:p>
            <w:pPr>
              <w:pStyle w:val="Compact"/>
              <w:jc w:val="left"/>
            </w:pPr>
            <w:r>
              <w:t xml:space="preserve">✅</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Artefacto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Artefacto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Artefacto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artefactos,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EV-C204-030</w:t>
            </w:r>
          </w:p>
        </w:tc>
        <w:tc>
          <w:tcPr/>
          <w:p>
            <w:pPr>
              <w:pStyle w:val="Compact"/>
              <w:jc w:val="left"/>
            </w:pPr>
            <w:r>
              <w:t xml:space="preserve">Configuración real del ruleset</w:t>
            </w:r>
            <w:r>
              <w:t xml:space="preserve"> </w:t>
            </w:r>
            <w:r>
              <w:rPr>
                <w:rStyle w:val="VerbatimChar"/>
              </w:rPr>
              <w:t xml:space="preserve">proteger-main</w:t>
            </w:r>
            <w:r>
              <w:t xml:space="preserve"> </w:t>
            </w:r>
            <w:r>
              <w:t xml:space="preserve">(API de GitHub)</w:t>
            </w:r>
          </w:p>
        </w:tc>
        <w:tc>
          <w:tcPr/>
          <w:p>
            <w:pPr>
              <w:pStyle w:val="Compact"/>
              <w:jc w:val="left"/>
            </w:pPr>
            <w:r>
              <w:rPr>
                <w:rStyle w:val="VerbatimChar"/>
              </w:rPr>
              <w:t xml:space="preserve">capturas/EV-C204-030-ruleset-main.json</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pPr>
        <w:pStyle w:val="BlockText"/>
      </w:pPr>
      <w:r>
        <w:t xml:space="preserve">Los identificadores 031–032 no se usan. Las etiquetas «EV-C204-006 … 011» que aparecen dentro de las diapositivas del PPTX original son notas internas del equipo y</w:t>
      </w:r>
      <w:r>
        <w:t xml:space="preserve"> </w:t>
      </w:r>
      <w:r>
        <w:rPr>
          <w:bCs/>
          <w:b/>
        </w:rPr>
        <w:t xml:space="preserve">no</w:t>
      </w:r>
      <w:r>
        <w:t xml:space="preserve"> </w:t>
      </w:r>
      <w:r>
        <w:t xml:space="preserve">corresponden a este índice; la equivalencia está en el Anexo I.</w:t>
      </w:r>
    </w:p>
    <w:p>
      <w:r>
        <w:pict>
          <v:rect style="width:0;height:1.5pt" o:hralign="center" o:hrstd="t" o:hr="t"/>
        </w:pict>
      </w:r>
    </w:p>
    <w:bookmarkEnd w:id="22"/>
    <w:bookmarkEnd w:id="23"/>
    <w:bookmarkStart w:id="93"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real en Docker local</w:t>
      </w:r>
      <w:r>
        <w:t xml:space="preserve">; las capturas de la consola de Keycloak y de la app móvil dentro del Codespace quedan como pendientes del equipo.</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artefactos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artifacts</w:t>
            </w:r>
          </w:p>
        </w:tc>
      </w:tr>
    </w:tbl>
    <w:p>
      <w:pPr>
        <w:pStyle w:val="BlockText"/>
      </w:pPr>
      <w:r>
        <w:t xml:space="preserve">El inventario alimenta el análisis ALE de la Tabla 5 (valor de activos y factor de exposición).</w:t>
      </w:r>
    </w:p>
    <w:bookmarkEnd w:id="53"/>
    <w:bookmarkEnd w:id="54"/>
    <w:bookmarkStart w:id="92" w:name="configuración-del-entorno-paso-a-paso"/>
    <w:p>
      <w:pPr>
        <w:pStyle w:val="Heading2"/>
      </w:pPr>
      <w:r>
        <w:t xml:space="preserve">8. Configuración del entorno (paso a paso)</w:t>
      </w:r>
    </w:p>
    <w:bookmarkStart w:id="68"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del Codespace (reportable a la docente; detalle en</w:t>
      </w:r>
      <w:r>
        <w:rPr>
          <w:bCs/>
          <w:b/>
        </w:rPr>
        <w:t xml:space="preserve"> </w:t>
      </w:r>
      <w:hyperlink r:id="rId55">
        <w:r>
          <w:rPr>
            <w:rStyle w:val="VerbatimChar"/>
            <w:bCs/>
            <w:b/>
          </w:rPr>
          <w:t xml:space="preserve">reporte-docente-devcontainer.md</w:t>
        </w:r>
      </w:hyperlink>
      <w:r>
        <w:rPr>
          <w:bCs/>
          <w:b/>
        </w:rPr>
        <w:t xml:space="preserve">).</w:t>
      </w:r>
      <w:r>
        <w:t xml:space="preserve"> </w:t>
      </w:r>
      <w:r>
        <w:t xml:space="preserve">El</w:t>
      </w:r>
      <w:r>
        <w:t xml:space="preserve"> </w:t>
      </w:r>
      <w:r>
        <w:rPr>
          <w:rStyle w:val="VerbatimChar"/>
        </w:rPr>
        <w:t xml:space="preserve">.devcontainer/devcontainer.json</w:t>
      </w:r>
      <w:r>
        <w:t xml:space="preserve"> </w:t>
      </w:r>
      <w:r>
        <w:t xml:space="preserve">del</w:t>
      </w:r>
      <w:r>
        <w:t xml:space="preserve"> </w:t>
      </w:r>
      <w:r>
        <w:rPr>
          <w:bCs/>
          <w:b/>
        </w:rPr>
        <w:t xml:space="preserve">zip oficial</w:t>
      </w:r>
      <w:r>
        <w:t xml:space="preserve"> </w:t>
      </w:r>
      <w:r>
        <w:t xml:space="preserve">usa la imagen</w:t>
      </w:r>
      <w:r>
        <w:t xml:space="preserve"> </w:t>
      </w:r>
      <w:r>
        <w:rPr>
          <w:rStyle w:val="VerbatimChar"/>
        </w:rPr>
        <w:t xml:space="preserve">mcr.microsoft.com/devcontainers/javascript-node:20</w:t>
      </w:r>
      <w:r>
        <w:t xml:space="preserve"> </w:t>
      </w:r>
      <w:r>
        <w:t xml:space="preserve">más la característica</w:t>
      </w:r>
      <w:r>
        <w:t xml:space="preserve"> </w:t>
      </w:r>
      <w:r>
        <w:rPr>
          <w:rStyle w:val="VerbatimChar"/>
        </w:rPr>
        <w:t xml:space="preserve">docker-in-docker:2</w:t>
      </w:r>
      <w:r>
        <w:t xml:space="preserve"> </w:t>
      </w:r>
      <w:r>
        <w:t xml:space="preserve">(sin opciones). Al abrir el Codespace, este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la característica para poder trabajar (EV-C204-045) y el Codespace pasó a arrancar en menos de un minuto.</w:t>
      </w:r>
    </w:p>
    <w:p>
      <w:pPr>
        <w:pStyle w:val="BodyText"/>
      </w:pPr>
      <w:r>
        <w:rPr>
          <w:iCs/>
          <w:i/>
        </w:rPr>
        <w:t xml:space="preserve">Causa (confirmada para la variante con</w:t>
      </w:r>
      <w:r>
        <w:rPr>
          <w:iCs/>
          <w:i/>
        </w:rPr>
        <w:t xml:space="preserve"> </w:t>
      </w:r>
      <w:r>
        <w:rPr>
          <w:rStyle w:val="VerbatimChar"/>
          <w:iCs/>
          <w:i/>
        </w:rPr>
        <w:t xml:space="preserve">docker-outside-of-docker</w:t>
      </w:r>
      <w:r>
        <w:rPr>
          <w:iCs/>
          <w:i/>
        </w:rPr>
        <w:t xml:space="preserve">, inferida para la del zip).</w:t>
      </w:r>
      <w:r>
        <w:t xml:space="preserve"> </w:t>
      </w:r>
      <w:r>
        <w:t xml:space="preserve">Al reproducir el fallo con la configuración alternativa, el registro de creación del Codespace muestra:</w:t>
      </w:r>
      <w:r>
        <w:t xml:space="preserve"> </w:t>
      </w:r>
      <w:r>
        <w:rPr>
          <w:rStyle w:val="VerbatimChar"/>
        </w:rPr>
        <w:t xml:space="preserve">The 'moby' option is not supported on debian 'trixie' because 'moby-cli' and related system packages are not available in that distribution</w:t>
      </w:r>
      <w:r>
        <w:t xml:space="preserve"> </w:t>
      </w:r>
      <w:r>
        <w:t xml:space="preserve">y</w:t>
      </w:r>
      <w:r>
        <w:t xml:space="preserve"> </w:t>
      </w:r>
      <w:r>
        <w:rPr>
          <w:rStyle w:val="VerbatimChar"/>
        </w:rPr>
        <w:t xml:space="preserve">Feature "Docker (docker-outside-of-docker)" failed to install</w:t>
      </w:r>
      <w:r>
        <w:t xml:space="preserve">. La imagen</w:t>
      </w:r>
      <w:r>
        <w:t xml:space="preserve"> </w:t>
      </w:r>
      <w:r>
        <w:rPr>
          <w:rStyle w:val="VerbatimChar"/>
        </w:rPr>
        <w:t xml:space="preserve">javascript-node:20</w:t>
      </w:r>
      <w:r>
        <w:t xml:space="preserve"> </w:t>
      </w:r>
      <w:r>
        <w:t xml:space="preserve">es hoy</w:t>
      </w:r>
      <w:r>
        <w:t xml:space="preserve"> </w:t>
      </w:r>
      <w:r>
        <w:rPr>
          <w:bCs/>
          <w:b/>
        </w:rPr>
        <w:t xml:space="preserve">Debian 13 «trixie»</w:t>
      </w:r>
      <w:r>
        <w:t xml:space="preserve"> </w:t>
      </w:r>
      <w:r>
        <w:t xml:space="preserve">(verificado:</w:t>
      </w:r>
      <w:r>
        <w:t xml:space="preserve"> </w:t>
      </w:r>
      <w:r>
        <w:rPr>
          <w:rStyle w:val="VerbatimChar"/>
        </w:rPr>
        <w:t xml:space="preserve">PRETTY_NAME="Debian GNU/Linux 13 (trixie)"</w:t>
      </w:r>
      <w:r>
        <w:t xml:space="preserve">, Node 20.20.2, igual que la captura EV-C204-046) y las características de Docker instalan por defecto el paquete</w:t>
      </w:r>
      <w:r>
        <w:t xml:space="preserve"> </w:t>
      </w:r>
      <w:r>
        <w:rPr>
          <w:rStyle w:val="VerbatimChar"/>
        </w:rPr>
        <w:t xml:space="preserve">moby</w:t>
      </w:r>
      <w:r>
        <w:t xml:space="preserve">, que no existe en trixie. La característica</w:t>
      </w:r>
      <w:r>
        <w:t xml:space="preserve"> </w:t>
      </w:r>
      <w:r>
        <w:rPr>
          <w:rStyle w:val="VerbatimChar"/>
        </w:rPr>
        <w:t xml:space="preserve">docker-in-docker:2</w:t>
      </w:r>
      <w:r>
        <w:t xml:space="preserve"> </w:t>
      </w:r>
      <w:r>
        <w:t xml:space="preserve">del zip tiene la misma opción por defecto y la misma imagen base, por lo que es</w:t>
      </w:r>
      <w:r>
        <w:t xml:space="preserve"> </w:t>
      </w:r>
      <w:r>
        <w:rPr>
          <w:bCs/>
          <w:b/>
        </w:rPr>
        <w:t xml:space="preserve">muy probable</w:t>
      </w:r>
      <w:r>
        <w:t xml:space="preserve"> </w:t>
      </w:r>
      <w:r>
        <w:t xml:space="preserve">que la causa sea la misma; no se conservó el texto exacto del error de la configuración original, solo su síntoma (modo de recuperación). Nota: una versión anterior de este informe atribuía el fallo al plan gratuito de 2 núcleos; esa hipótesis no tiene respaldo en los registros y se descarta.</w:t>
      </w:r>
    </w:p>
    <w:p>
      <w:pPr>
        <w:pStyle w:val="BodyText"/>
      </w:pPr>
      <w:r>
        <w:rPr>
          <w:iCs/>
          <w:i/>
        </w:rPr>
        <w:t xml:space="preserve">Solución.</w:t>
      </w:r>
      <w:r>
        <w:t xml:space="preserve"> </w:t>
      </w:r>
      <w:r>
        <w:t xml:space="preserve">La configuración alternativa</w:t>
      </w:r>
      <w:r>
        <w:t xml:space="preserve"> </w:t>
      </w:r>
      <w:r>
        <w:rPr>
          <w:rStyle w:val="VerbatimChar"/>
        </w:rPr>
        <w:t xml:space="preserve">.devcontainer/con-docker/devcontainer.json</w:t>
      </w:r>
      <w:r>
        <w:t xml:space="preserve"> </w:t>
      </w:r>
      <w:r>
        <w:t xml:space="preserve">usa</w:t>
      </w:r>
      <w:r>
        <w:t xml:space="preserve"> </w:t>
      </w:r>
      <w:r>
        <w:rPr>
          <w:rStyle w:val="VerbatimChar"/>
        </w:rPr>
        <w:t xml:space="preserve">docker-outside-of-docker</w:t>
      </w:r>
      <w:r>
        <w:t xml:space="preserve"> </w:t>
      </w:r>
      <w:r>
        <w:t xml:space="preserve">con</w:t>
      </w:r>
      <w:r>
        <w:t xml:space="preserve"> </w:t>
      </w:r>
      <w:r>
        <w:rPr>
          <w:rStyle w:val="VerbatimChar"/>
        </w:rPr>
        <w:t xml:space="preserve">"moby": false</w:t>
      </w:r>
      <w:r>
        <w:t xml:space="preserve">, que es lo que indica el propio mensaje de error (usar el Docker CLI de Docker en lugar de</w:t>
      </w:r>
      <w:r>
        <w:t xml:space="preserve"> </w:t>
      </w:r>
      <w:r>
        <w:rPr>
          <w:rStyle w:val="VerbatimChar"/>
        </w:rPr>
        <w:t xml:space="preserve">moby</w:t>
      </w:r>
      <w:r>
        <w:t xml:space="preserve">).</w:t>
      </w:r>
    </w:p>
    <w:p>
      <w:pPr>
        <w:pStyle w:val="CaptionedFigure"/>
      </w:pPr>
      <w:r>
        <w:drawing>
          <wp:inline>
            <wp:extent cx="5067300" cy="2536319"/>
            <wp:effectExtent b="0" l="0" r="0" t="0"/>
            <wp:docPr descr="EV-C204-043 — Registro de creación del Codespace (creation.log) y mensaje de modo de recuperación" title="" id="57" name="Picture"/>
            <a:graphic>
              <a:graphicData uri="http://schemas.openxmlformats.org/drawingml/2006/picture">
                <pic:pic>
                  <pic:nvPicPr>
                    <pic:cNvPr descr="evidencias/capturas/consola-git/EV-C204-043-screenshot-image1.png" id="58" name="Picture"/>
                    <pic:cNvPicPr>
                      <a:picLocks noChangeArrowheads="1" noChangeAspect="1"/>
                    </pic:cNvPicPr>
                  </pic:nvPicPr>
                  <pic:blipFill>
                    <a:blip r:embed="rId5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60" name="Picture"/>
            <a:graphic>
              <a:graphicData uri="http://schemas.openxmlformats.org/drawingml/2006/picture">
                <pic:pic>
                  <pic:nvPicPr>
                    <pic:cNvPr descr="evidencias/capturas/consola-git/EV-C204-044-screenshot-image2.png" id="61" name="Picture"/>
                    <pic:cNvPicPr>
                      <a:picLocks noChangeArrowheads="1" noChangeAspect="1"/>
                    </pic:cNvPicPr>
                  </pic:nvPicPr>
                  <pic:blipFill>
                    <a:blip r:embed="rId59"/>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3" name="Picture"/>
            <a:graphic>
              <a:graphicData uri="http://schemas.openxmlformats.org/drawingml/2006/picture">
                <pic:pic>
                  <pic:nvPicPr>
                    <pic:cNvPr descr="evidencias/capturas/consola-git/EV-C204-045-screenshot-image3.png" id="64" name="Picture"/>
                    <pic:cNvPicPr>
                      <a:picLocks noChangeArrowheads="1" noChangeAspect="1"/>
                    </pic:cNvPicPr>
                  </pic:nvPicPr>
                  <pic:blipFill>
                    <a:blip r:embed="rId62"/>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6" name="Picture"/>
            <a:graphic>
              <a:graphicData uri="http://schemas.openxmlformats.org/drawingml/2006/picture">
                <pic:pic>
                  <pic:nvPicPr>
                    <pic:cNvPr descr="evidencias/capturas/consola-git/EV-C204-046-screenshot-image4.png" id="67" name="Picture"/>
                    <pic:cNvPicPr>
                      <a:picLocks noChangeArrowheads="1" noChangeAspect="1"/>
                    </pic:cNvPicPr>
                  </pic:nvPicPr>
                  <pic:blipFill>
                    <a:blip r:embed="rId6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Docker en el Codespace:</w:t>
      </w:r>
      <w:r>
        <w:t xml:space="preserve"> </w:t>
      </w:r>
      <w:r>
        <w:t xml:space="preserve">la configuración por defecto (sin Docker) no permite los pasos 6.2 y 7 de la guía (</w:t>
      </w:r>
      <w:r>
        <w:rPr>
          <w:rStyle w:val="VerbatimChar"/>
        </w:rPr>
        <w:t xml:space="preserve">docker compose up</w:t>
      </w:r>
      <w:r>
        <w:t xml:space="preserve">, Keycloak). Para eso se creó la configuración alternativa</w:t>
      </w:r>
      <w:r>
        <w:t xml:space="preserve"> </w:t>
      </w:r>
      <w:r>
        <w:rPr>
          <w:rStyle w:val="VerbatimChar"/>
        </w:rPr>
        <w:t xml:space="preserve">con-docker</w:t>
      </w:r>
      <w:r>
        <w:t xml:space="preserve"> </w:t>
      </w:r>
      <w:r>
        <w:t xml:space="preserve">(</w:t>
      </w:r>
      <w:r>
        <w:rPr>
          <w:iCs/>
          <w:i/>
        </w:rPr>
        <w:t xml:space="preserve">Code → Codespaces → New with options… → CIB-204 DevSecOps (Node 20 + Docker)</w:t>
      </w:r>
      <w:r>
        <w:t xml:space="preserve">) con</w:t>
      </w:r>
      <w:r>
        <w:t xml:space="preserve"> </w:t>
      </w:r>
      <w:r>
        <w:rPr>
          <w:rStyle w:val="VerbatimChar"/>
        </w:rPr>
        <w:t xml:space="preserve">"moby": false</w:t>
      </w:r>
      <w:r>
        <w:t xml:space="preserve">; fue probada por el equipo: en su Codespace la consola de Keycloak (contenedor Docker) responde en el puerto 8080 y el servicio en el 3000 (EV-C204-005 y EV-C204-006), lo que indica que Docker está disponible; falta solo la captura de</w:t>
      </w:r>
      <w:r>
        <w:t xml:space="preserve"> </w:t>
      </w:r>
      <w:r>
        <w:rPr>
          <w:rStyle w:val="VerbatimChar"/>
        </w:rPr>
        <w:t xml:space="preserve">docker --version</w:t>
      </w:r>
      <w:r>
        <w:t xml:space="preserve">. El pipeline de GitHub Actions no depende de esto.</w:t>
      </w:r>
    </w:p>
    <w:p>
      <w:pPr>
        <w:pStyle w:val="FirstParagraph"/>
      </w:pPr>
      <w:r>
        <w:rPr>
          <w:bCs/>
          <w:b/>
        </w:rPr>
        <w:t xml:space="preserve">Evidencia:</w:t>
      </w:r>
      <w:r>
        <w:t xml:space="preserve"> </w:t>
      </w:r>
      <w:r>
        <w:t xml:space="preserve">EV-C204-043 a EV-C204-046 (EV-C204-001 = 046).</w:t>
      </w:r>
    </w:p>
    <w:bookmarkEnd w:id="68"/>
    <w:bookmarkStart w:id="75"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(captura del navegador en el Codespace; transcripción de la misma prueba en EV-C204-023).</w:t>
      </w:r>
    </w:p>
    <w:p>
      <w:pPr>
        <w:pStyle w:val="CaptionedFigure"/>
      </w:pPr>
      <w:r>
        <w:drawing>
          <wp:inline>
            <wp:extent cx="4800600" cy="2336077"/>
            <wp:effectExtent b="0" l="0" r="0" t="0"/>
            <wp:docPr descr="EV-C204-002 — Respuesta de /salud en el Codespace: {&quot;estado&quot;:&quot;ok&quot;,&quot;version&quot;:&quot;remediado-2.0&quot;}" title="" id="70" name="Picture"/>
            <a:graphic>
              <a:graphicData uri="http://schemas.openxmlformats.org/drawingml/2006/picture">
                <pic:pic>
                  <pic:nvPicPr>
                    <pic:cNvPr descr="evidencias/capturas/EV-C204-002-salud.jpeg" id="71" name="Picture"/>
                    <pic:cNvPicPr>
                      <a:picLocks noChangeArrowheads="1" noChangeAspect="1"/>
                    </pic:cNvPicPr>
                  </pic:nvPicPr>
                  <pic:blipFill>
                    <a:blip r:embed="rId69"/>
                    <a:stretch>
                      <a:fillRect/>
                    </a:stretch>
                  </pic:blipFill>
                  <pic:spPr bwMode="auto">
                    <a:xfrm>
                      <a:off x="0" y="0"/>
                      <a:ext cx="4800600" cy="2336077"/>
                    </a:xfrm>
                    <a:prstGeom prst="rect">
                      <a:avLst/>
                    </a:prstGeom>
                    <a:noFill/>
                    <a:ln w="9525">
                      <a:noFill/>
                      <a:headEnd/>
                      <a:tailEnd/>
                    </a:ln>
                  </pic:spPr>
                </pic:pic>
              </a:graphicData>
            </a:graphic>
          </wp:inline>
        </w:drawing>
      </w:r>
    </w:p>
    <w:p>
      <w:pPr>
        <w:pStyle w:val="ImageCaption"/>
      </w:pPr>
      <w:r>
        <w:t xml:space="preserve">EV-C204-002 — Respuesta de</w:t>
      </w:r>
      <w:r>
        <w:t xml:space="preserve"> </w:t>
      </w:r>
      <w:r>
        <w:rPr>
          <w:rStyle w:val="VerbatimChar"/>
        </w:rPr>
        <w:t xml:space="preserve">/salud</w:t>
      </w:r>
      <w:r>
        <w:t xml:space="preserve"> </w:t>
      </w:r>
      <w:r>
        <w:t xml:space="preserve">en el Codespace:</w:t>
      </w:r>
      <w:r>
        <w:t xml:space="preserve"> </w:t>
      </w:r>
      <w:r>
        <w:rPr>
          <w:rStyle w:val="VerbatimChar"/>
        </w:rPr>
        <w:t xml:space="preserve">{"estado":"ok","version":"remediado-2.0"}</w:t>
      </w:r>
    </w:p>
    <w:p>
      <w:pPr>
        <w:pStyle w:val="CaptionedFigure"/>
      </w:pPr>
      <w:r>
        <w:drawing>
          <wp:inline>
            <wp:extent cx="4267200" cy="2370666"/>
            <wp:effectExtent b="0" l="0" r="0" t="0"/>
            <wp:docPr descr="EV-C204-002b — Resumen de la misma consulta elaborado por el asistente de navegador (ChatGPT): URL, HTTP 200 y hora (12:32 CST). No es una captura directa del navegador; la evidencia principal es la imagen anterior" title="" id="73" name="Picture"/>
            <a:graphic>
              <a:graphicData uri="http://schemas.openxmlformats.org/drawingml/2006/picture">
                <pic:pic>
                  <pic:nvPicPr>
                    <pic:cNvPr descr="evidencias/capturas/EV-C204-002b-resumen-chatgpt.png" id="74" name="Picture"/>
                    <pic:cNvPicPr>
                      <a:picLocks noChangeArrowheads="1" noChangeAspect="1"/>
                    </pic:cNvPicPr>
                  </pic:nvPicPr>
                  <pic:blipFill>
                    <a:blip r:embed="rId72"/>
                    <a:stretch>
                      <a:fillRect/>
                    </a:stretch>
                  </pic:blipFill>
                  <pic:spPr bwMode="auto">
                    <a:xfrm>
                      <a:off x="0" y="0"/>
                      <a:ext cx="4267200" cy="2370666"/>
                    </a:xfrm>
                    <a:prstGeom prst="rect">
                      <a:avLst/>
                    </a:prstGeom>
                    <a:noFill/>
                    <a:ln w="9525">
                      <a:noFill/>
                      <a:headEnd/>
                      <a:tailEnd/>
                    </a:ln>
                  </pic:spPr>
                </pic:pic>
              </a:graphicData>
            </a:graphic>
          </wp:inline>
        </w:drawing>
      </w:r>
    </w:p>
    <w:p>
      <w:pPr>
        <w:pStyle w:val="ImageCaption"/>
      </w:pPr>
      <w:r>
        <w:t xml:space="preserve">EV-C204-002b — Resumen de la misma consulta elaborado por el asistente de navegador (ChatGPT): URL, HTTP 200 y hora (12:32 CST).</w:t>
      </w:r>
      <w:r>
        <w:t xml:space="preserve"> </w:t>
      </w:r>
      <w:r>
        <w:rPr>
          <w:bCs/>
          <w:b/>
        </w:rPr>
        <w:t xml:space="preserve">No es una captura directa del navegador</w:t>
      </w:r>
      <w:r>
        <w:t xml:space="preserve">; la evidencia principal es la imagen anterior</w:t>
      </w:r>
    </w:p>
    <w:bookmarkEnd w:id="75"/>
    <w:bookmarkStart w:id="85"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EV-C204-003 a EV-C204-005 (capturas de la consola web de Keycloak en el Codespace) y, además, por API (EV-C204-023).</w:t>
      </w:r>
    </w:p>
    <w:p>
      <w:pPr>
        <w:pStyle w:val="CaptionedFigure"/>
      </w:pPr>
      <w:r>
        <w:drawing>
          <wp:inline>
            <wp:extent cx="5067300" cy="2465860"/>
            <wp:effectExtent b="0" l="0" r="0" t="0"/>
            <wp:docPr descr="EV-C204-003 — Consola de Keycloak: realm appmovil («Welcome to appmovil»)" title="" id="77" name="Picture"/>
            <a:graphic>
              <a:graphicData uri="http://schemas.openxmlformats.org/drawingml/2006/picture">
                <pic:pic>
                  <pic:nvPicPr>
                    <pic:cNvPr descr="evidencias/capturas/EV-C204-003-realm.jpeg" id="78" name="Picture"/>
                    <pic:cNvPicPr>
                      <a:picLocks noChangeArrowheads="1" noChangeAspect="1"/>
                    </pic:cNvPicPr>
                  </pic:nvPicPr>
                  <pic:blipFill>
                    <a:blip r:embed="rId76"/>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EV-C204-003 — Consola de Keycloak: realm</w:t>
      </w:r>
      <w:r>
        <w:t xml:space="preserve"> </w:t>
      </w:r>
      <w:r>
        <w:rPr>
          <w:rStyle w:val="VerbatimChar"/>
        </w:rPr>
        <w:t xml:space="preserve">appmovil</w:t>
      </w:r>
      <w:r>
        <w:t xml:space="preserve"> </w:t>
      </w:r>
      <w:r>
        <w:t xml:space="preserve">(«Welcome to appmovil»)</w:t>
      </w:r>
    </w:p>
    <w:p>
      <w:pPr>
        <w:pStyle w:val="CaptionedFigure"/>
      </w:pPr>
      <w:r>
        <w:drawing>
          <wp:inline>
            <wp:extent cx="5067300" cy="2465860"/>
            <wp:effectExtent b="0" l="0" r="0" t="0"/>
            <wp:docPr descr="EV-C204-004 — Cliente servicio-cifrado (OpenID Connect, habilitado)" title="" id="80" name="Picture"/>
            <a:graphic>
              <a:graphicData uri="http://schemas.openxmlformats.org/drawingml/2006/picture">
                <pic:pic>
                  <pic:nvPicPr>
                    <pic:cNvPr descr="evidencias/capturas/EV-C204-004-cliente.png" id="81" name="Picture"/>
                    <pic:cNvPicPr>
                      <a:picLocks noChangeArrowheads="1" noChangeAspect="1"/>
                    </pic:cNvPicPr>
                  </pic:nvPicPr>
                  <pic:blipFill>
                    <a:blip r:embed="rId79"/>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EV-C204-004 — Cliente</w:t>
      </w:r>
      <w:r>
        <w:t xml:space="preserve"> </w:t>
      </w:r>
      <w:r>
        <w:rPr>
          <w:rStyle w:val="VerbatimChar"/>
        </w:rPr>
        <w:t xml:space="preserve">servicio-cifrado</w:t>
      </w:r>
      <w:r>
        <w:t xml:space="preserve"> </w:t>
      </w:r>
      <w:r>
        <w:t xml:space="preserve">(OpenID Connect, habilitado)</w:t>
      </w:r>
    </w:p>
    <w:p>
      <w:pPr>
        <w:pStyle w:val="CaptionedFigure"/>
      </w:pPr>
      <w:r>
        <w:drawing>
          <wp:inline>
            <wp:extent cx="5067300" cy="2164782"/>
            <wp:effectExtent b="0" l="0" r="0" t="0"/>
            <wp:docPr descr="EV-C204-005 — Consola de Keycloak en el Codespace: realm appmovil, usuario demo habilitado, email verificado, creado el 19-sep-2026" title="" id="83" name="Picture"/>
            <a:graphic>
              <a:graphicData uri="http://schemas.openxmlformats.org/drawingml/2006/picture">
                <pic:pic>
                  <pic:nvPicPr>
                    <pic:cNvPr descr="evidencias/capturas/EV-C204-005-usuario.png" id="84" name="Picture"/>
                    <pic:cNvPicPr>
                      <a:picLocks noChangeArrowheads="1" noChangeAspect="1"/>
                    </pic:cNvPicPr>
                  </pic:nvPicPr>
                  <pic:blipFill>
                    <a:blip r:embed="rId82"/>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EV-C204-005 — Consola de Keycloak en el Codespace: realm</w:t>
      </w:r>
      <w:r>
        <w:t xml:space="preserve"> </w:t>
      </w:r>
      <w:r>
        <w:rPr>
          <w:rStyle w:val="VerbatimChar"/>
        </w:rPr>
        <w:t xml:space="preserve">appmovil</w:t>
      </w:r>
      <w:r>
        <w:t xml:space="preserve">, usuario</w:t>
      </w:r>
      <w:r>
        <w:t xml:space="preserve"> </w:t>
      </w:r>
      <w:r>
        <w:rPr>
          <w:rStyle w:val="VerbatimChar"/>
        </w:rPr>
        <w:t xml:space="preserve">demo</w:t>
      </w:r>
      <w:r>
        <w:t xml:space="preserve"> </w:t>
      </w:r>
      <w:r>
        <w:t xml:space="preserve">habilitado, email verificado, creado el 19-sep-2026</w:t>
      </w:r>
    </w:p>
    <w:p>
      <w:pPr>
        <w:pStyle w:val="BlockText"/>
      </w:pPr>
      <w:r>
        <w:rPr>
          <w:bCs/>
          <w:b/>
        </w:rPr>
        <w:t xml:space="preserve">Observación:</w:t>
      </w:r>
      <w:r>
        <w:t xml:space="preserve"> </w:t>
      </w:r>
      <w:r>
        <w:t xml:space="preserve">el usuario tiene pendiente la acción «Update Password», lo que impide que</w:t>
      </w:r>
      <w:r>
        <w:t xml:space="preserve"> </w:t>
      </w:r>
      <w:r>
        <w:rPr>
          <w:rStyle w:val="VerbatimChar"/>
        </w:rPr>
        <w:t xml:space="preserve">demo</w:t>
      </w:r>
      <w:r>
        <w:t xml:space="preserve"> </w:t>
      </w:r>
      <w:r>
        <w:t xml:space="preserve">obtenga un token por contraseña directa hasta que se quite. Ver la nota de la Tabla 6 (P-28).</w:t>
      </w:r>
    </w:p>
    <w:bookmarkEnd w:id="85"/>
    <w:bookmarkStart w:id="89"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La app se ejecutó en el Codespace del equipo con el acceso apagado (sin token): cifró «Hola CIB-204» y lo descifró de vuelta («Estado: Descifrado OK»). Se probó la app</w:t>
      </w:r>
      <w:r>
        <w:t xml:space="preserve"> </w:t>
      </w:r>
      <w:r>
        <w:rPr>
          <w:bCs/>
          <w:b/>
        </w:rPr>
        <w:t xml:space="preserve">sin</w:t>
      </w:r>
      <w:r>
        <w:t xml:space="preserve"> </w:t>
      </w:r>
      <w:r>
        <w:t xml:space="preserve">identidad; el flujo con token de Keycloak se probó por separado en las 25 comprobaciones de EV-C204-023.</w:t>
      </w:r>
    </w:p>
    <w:p>
      <w:pPr>
        <w:pStyle w:val="CaptionedFigure"/>
      </w:pPr>
      <w:r>
        <w:drawing>
          <wp:inline>
            <wp:extent cx="5067300" cy="2164782"/>
            <wp:effectExtent b="0" l="0" r="0" t="0"/>
            <wp:docPr descr="EV-C204-006 — App móvil (Expo web) en el Codespace: URL del servicio, texto «Hola CIB-204», cifrado en base64 y descifrado correcto" title="" id="87" name="Picture"/>
            <a:graphic>
              <a:graphicData uri="http://schemas.openxmlformats.org/drawingml/2006/picture">
                <pic:pic>
                  <pic:nvPicPr>
                    <pic:cNvPr descr="evidencias/capturas/EV-C204-006-app.png" id="88" name="Picture"/>
                    <pic:cNvPicPr>
                      <a:picLocks noChangeArrowheads="1" noChangeAspect="1"/>
                    </pic:cNvPicPr>
                  </pic:nvPicPr>
                  <pic:blipFill>
                    <a:blip r:embed="rId86"/>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EV-C204-006 — App móvil (Expo web) en el Codespace: URL del servicio, texto «Hola CIB-204», cifrado en base64 y descifrado correcto</w:t>
      </w:r>
    </w:p>
    <w:bookmarkEnd w:id="89"/>
    <w:bookmarkStart w:id="90"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2000"/>
        <w:gridCol w:w="2960"/>
        <w:gridCol w:w="296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(introdujo) →</w:t>
            </w:r>
            <w:r>
              <w:t xml:space="preserve"> </w:t>
            </w:r>
            <w:r>
              <w:rPr>
                <w:rStyle w:val="VerbatimChar"/>
              </w:rPr>
              <w:t xml:space="preserve">e267ad5</w:t>
            </w:r>
            <w:r>
              <w:t xml:space="preserve"> </w:t>
            </w:r>
            <w:r>
              <w:t xml:space="preserve">(quitó)</w:t>
            </w:r>
          </w:p>
        </w:tc>
        <w:tc>
          <w:tcPr/>
          <w:p>
            <w:pPr>
              <w:pStyle w:val="Compact"/>
              <w:jc w:val="left"/>
            </w:pPr>
            <w:r>
              <w:rPr>
                <w:rStyle w:val="VerbatimChar"/>
              </w:rPr>
              <w:t xml:space="preserve">COPY public ./public</w:t>
            </w:r>
          </w:p>
        </w:tc>
        <w:tc>
          <w:tcPr/>
          <w:p>
            <w:pPr>
              <w:pStyle w:val="Compact"/>
              <w:jc w:val="left"/>
            </w:pPr>
            <w:r>
              <w:rPr>
                <w:bCs/>
                <w:b/>
              </w:rPr>
              <w:t xml:space="preserve">Error introducido por la remediación, no por el zip:</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w:t>
            </w:r>
            <w:r>
              <w:t xml:space="preserve"> </w:t>
            </w:r>
            <w:r>
              <w:rPr>
                <w:bCs/>
                <w:b/>
              </w:rPr>
              <w:t xml:space="preserve">no logró el objetivo</w:t>
            </w:r>
            <w:r>
              <w:t xml:space="preserve"> </w:t>
            </w:r>
            <w:r>
              <w:t xml:space="preserve">(ver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Detalles del incidente:</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vino del zip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el</w:t>
      </w:r>
      <w:r>
        <w:t xml:space="preserve"> </w:t>
      </w:r>
      <w:r>
        <w:rPr>
          <w:rStyle w:val="VerbatimChar"/>
        </w:rPr>
        <w:t xml:space="preserve">COPY public</w:t>
      </w:r>
      <w:r>
        <w:t xml:space="preserve"> </w:t>
      </w:r>
      <w:r>
        <w:t xml:space="preserve">fantasma;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no cerró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p>
      <w:pPr>
        <w:pStyle w:val="BlockText"/>
      </w:pPr>
      <w:r>
        <w:rPr>
          <w:bCs/>
          <w:b/>
        </w:rPr>
        <w:t xml:space="preserve">Nota de transparencia:</w:t>
      </w:r>
      <w:r>
        <w:t xml:space="preserve"> </w:t>
      </w:r>
      <w:r>
        <w:t xml:space="preserve">el error de build no provino del zip oficial del laboratorio; fue introducido durante la remediación y corregido en</w:t>
      </w:r>
      <w:r>
        <w:t xml:space="preserve"> </w:t>
      </w:r>
      <w:r>
        <w:rPr>
          <w:rStyle w:val="VerbatimChar"/>
        </w:rPr>
        <w:t xml:space="preserve">e267ad5</w:t>
      </w:r>
      <w:r>
        <w:t xml:space="preserve">. No requiere notificación a la profesora.</w:t>
      </w:r>
    </w:p>
    <w:bookmarkEnd w:id="90"/>
    <w:bookmarkStart w:id="91"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91"/>
    <w:bookmarkEnd w:id="92"/>
    <w:bookmarkEnd w:id="93"/>
    <w:bookmarkStart w:id="111" w:name="parte-ii-implementación-y-entorno"/>
    <w:p>
      <w:pPr>
        <w:pStyle w:val="Heading1"/>
      </w:pPr>
      <w:r>
        <w:t xml:space="preserve">PARTE II — IMPLEMENTACIÓN Y ENTORNO</w:t>
      </w:r>
    </w:p>
    <w:p>
      <w:pPr>
        <w:pStyle w:val="BlockText"/>
      </w:pPr>
      <w:r>
        <w:rPr>
          <w:bCs/>
          <w:b/>
        </w:rPr>
        <w:t xml:space="preserve">Nota de trazabilidad:</w:t>
      </w:r>
      <w:r>
        <w:t xml:space="preserve"> </w:t>
      </w: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97" w:name="Xb44003f4d804ca91c6a4233e131d0388fe1eb79"/>
    <w:p>
      <w:pPr>
        <w:pStyle w:val="Heading2"/>
      </w:pPr>
      <w:r>
        <w:t xml:space="preserve">9. Módulo de encriptación/desencriptación (RSA)</w:t>
      </w:r>
    </w:p>
    <w:bookmarkStart w:id="94"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94"/>
    <w:bookmarkStart w:id="95"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95"/>
    <w:bookmarkStart w:id="96"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96"/>
    <w:bookmarkEnd w:id="97"/>
    <w:bookmarkStart w:id="101" w:name="funciones-de-utilidad"/>
    <w:p>
      <w:pPr>
        <w:pStyle w:val="Heading2"/>
      </w:pPr>
      <w:r>
        <w:t xml:space="preserve">10. Funciones de utilidad</w:t>
      </w:r>
    </w:p>
    <w:bookmarkStart w:id="98"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98"/>
    <w:bookmarkStart w:id="99"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99"/>
    <w:bookmarkStart w:id="100"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100"/>
    <w:bookmarkEnd w:id="101"/>
    <w:bookmarkStart w:id="105" w:name="autenticación-con-keycloak-jwt"/>
    <w:p>
      <w:pPr>
        <w:pStyle w:val="Heading2"/>
      </w:pPr>
      <w:r>
        <w:t xml:space="preserve">11. Autenticación con Keycloak (JWT)</w:t>
      </w:r>
    </w:p>
    <w:bookmarkStart w:id="102"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102"/>
    <w:bookmarkStart w:id="103"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Corrección relevante hallada durante la revisión final.</w:t>
      </w:r>
      <w:r>
        <w:t xml:space="preserve"> </w:t>
      </w:r>
      <w:r>
        <w:t xml:space="preserve">La primera remediación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Eso cerraba el hallazgo de Semgrep, pero era incompatible con Keycloak: Keycloak firma con RS256, de modo que con</w:t>
      </w:r>
      <w:r>
        <w:t xml:space="preserve"> </w:t>
      </w:r>
      <w:r>
        <w:rPr>
          <w:rStyle w:val="VerbatimChar"/>
        </w:rPr>
        <w:t xml:space="preserve">AUTH_ENABLED=true</w:t>
      </w:r>
      <w:r>
        <w:t xml:space="preserve"> </w:t>
      </w:r>
      <w:r>
        <w:t xml:space="preserve">todos los tokens reales habrían sido rechazados. Se corrigió en el commit</w:t>
      </w:r>
      <w:r>
        <w:t xml:space="preserve"> </w:t>
      </w:r>
      <w:r>
        <w:rPr>
          <w:rStyle w:val="VerbatimChar"/>
        </w:rPr>
        <w:t xml:space="preserve">8b9b0b6</w:t>
      </w:r>
      <w:r>
        <w:t xml:space="preserve"> </w:t>
      </w:r>
      <w:r>
        <w:t xml:space="preserve">para cumplir la guía (§10.5: «valida el token contra el JWKS de Keycloak,</w:t>
      </w:r>
      <w:r>
        <w:t xml:space="preserve"> </w:t>
      </w:r>
      <w:r>
        <w:rPr>
          <w:rStyle w:val="VerbatimChar"/>
        </w:rPr>
        <w:t xml:space="preserve">algorithms: ['RS256']</w:t>
      </w:r>
      <w:r>
        <w:t xml:space="preserve">») y este informe. No se agregaron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103"/>
    <w:bookmarkStart w:id="104"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104"/>
    <w:bookmarkEnd w:id="105"/>
    <w:bookmarkStart w:id="110" w:name="pipeline-devsecops-las-6-pruebas"/>
    <w:p>
      <w:pPr>
        <w:pStyle w:val="Heading2"/>
      </w:pPr>
      <w:r>
        <w:t xml:space="preserve">12. Pipeline DevSecOps (las 6 pruebas)</w:t>
      </w:r>
    </w:p>
    <w:bookmarkStart w:id="106"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Artefacto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Nota — desviación documentada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vía</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w:t>
      </w:r>
      <w:r>
        <w:t xml:space="preserve"> </w:t>
      </w:r>
      <w:r>
        <w:rPr>
          <w:bCs/>
          <w:b/>
        </w:rPr>
        <w:t xml:space="preserve">sigue ejecutándose en cada push</w:t>
      </w:r>
      <w:r>
        <w:t xml:space="preserve">: sobre el commit final produjo 2 análisis (87 y 17 reglas) con 0 resultados abiertos. Si el docente exige el job literal en el workflow, basta desactivar el default setup y restaurar el job; se prefirió no romper el pipeline verde.</w:t>
      </w:r>
    </w:p>
    <w:bookmarkEnd w:id="106"/>
    <w:bookmarkStart w:id="107"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107"/>
    <w:bookmarkStart w:id="108"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artifacts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108"/>
    <w:bookmarkStart w:id="109"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109"/>
    <w:bookmarkEnd w:id="110"/>
    <w:bookmarkEnd w:id="111"/>
    <w:bookmarkStart w:id="174" w:name="parte-iii-diagnóstico-y-remediación"/>
    <w:p>
      <w:pPr>
        <w:pStyle w:val="Heading1"/>
      </w:pPr>
      <w:r>
        <w:t xml:space="preserve">PARTE III — DIAGNÓSTICO Y REMEDIACIÓN</w:t>
      </w:r>
    </w:p>
    <w:bookmarkStart w:id="156" w:name="fase-1-diagnóstico-pipeline-en-rojo"/>
    <w:p>
      <w:pPr>
        <w:pStyle w:val="Heading2"/>
      </w:pPr>
      <w:r>
        <w:t xml:space="preserve">13. Fase 1 — Diagnóstico (pipeline en rojo)</w:t>
      </w:r>
    </w:p>
    <w:bookmarkStart w:id="112"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artefactos se descargaron íntegros (EV-C204-020, 021, 022, 027 y 028).</w:t>
      </w:r>
    </w:p>
    <w:bookmarkEnd w:id="112"/>
    <w:bookmarkStart w:id="137"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Lectura: en los runs 1 a 5 todavía no estaba el código del servicio; Semgrep y Gitleaks pasan porque no había nada vulnerable que encontrar (el resto falla de forma consistente con la falta del material, es una inferencia a partir de los mensajes de commit «Avance sin zip»).</w:t>
      </w:r>
      <w:r>
        <w:t xml:space="preserve"> </w:t>
      </w:r>
      <w:r>
        <w:rPr>
          <w:bCs/>
          <w:b/>
        </w:rPr>
        <w:t xml:space="preserve">Desde el run 6</w:t>
      </w:r>
      <w:r>
        <w:t xml:space="preserve">, al integrar el zip oficial, el pipeline queda en rojo por las vulnerabilidades reales, y ZAP (que solo informa) en verde.</w:t>
      </w:r>
    </w:p>
    <w:p>
      <w:pPr>
        <w:pStyle w:val="CaptionedFigure"/>
      </w:pPr>
      <w:r>
        <w:drawing>
          <wp:inline>
            <wp:extent cx="5067300" cy="2536319"/>
            <wp:effectExtent b="0" l="0" r="0" t="0"/>
            <wp:docPr descr="EV-C204-047 — Pestaña Actions: las 8 ejecuciones, todas en rojo" title="" id="114" name="Picture"/>
            <a:graphic>
              <a:graphicData uri="http://schemas.openxmlformats.org/drawingml/2006/picture">
                <pic:pic>
                  <pic:nvPicPr>
                    <pic:cNvPr descr="evidencias/capturas/consola-git/EV-C204-047-screenshot-image5.png" id="115" name="Picture"/>
                    <pic:cNvPicPr>
                      <a:picLocks noChangeArrowheads="1" noChangeAspect="1"/>
                    </pic:cNvPicPr>
                  </pic:nvPicPr>
                  <pic:blipFill>
                    <a:blip r:embed="rId113"/>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117" name="Picture"/>
            <a:graphic>
              <a:graphicData uri="http://schemas.openxmlformats.org/drawingml/2006/picture">
                <pic:pic>
                  <pic:nvPicPr>
                    <pic:cNvPr descr="evidencias/capturas/consola-git/EV-C204-036-screenshot-image13.png" id="118" name="Picture"/>
                    <pic:cNvPicPr>
                      <a:picLocks noChangeArrowheads="1" noChangeAspect="1"/>
                    </pic:cNvPicPr>
                  </pic:nvPicPr>
                  <pic:blipFill>
                    <a:blip r:embed="rId116"/>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20" name="Picture"/>
            <a:graphic>
              <a:graphicData uri="http://schemas.openxmlformats.org/drawingml/2006/picture">
                <pic:pic>
                  <pic:nvPicPr>
                    <pic:cNvPr descr="evidencias/capturas/consola-git/EV-C204-035-screenshot-image12.png" id="121" name="Picture"/>
                    <pic:cNvPicPr>
                      <a:picLocks noChangeArrowheads="1" noChangeAspect="1"/>
                    </pic:cNvPicPr>
                  </pic:nvPicPr>
                  <pic:blipFill>
                    <a:blip r:embed="rId119"/>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23" name="Picture"/>
            <a:graphic>
              <a:graphicData uri="http://schemas.openxmlformats.org/drawingml/2006/picture">
                <pic:pic>
                  <pic:nvPicPr>
                    <pic:cNvPr descr="evidencias/capturas/consola-git/EV-C204-034-screenshot-image11.png" id="124" name="Picture"/>
                    <pic:cNvPicPr>
                      <a:picLocks noChangeArrowheads="1" noChangeAspect="1"/>
                    </pic:cNvPicPr>
                  </pic:nvPicPr>
                  <pic:blipFill>
                    <a:blip r:embed="rId122"/>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26" name="Picture"/>
            <a:graphic>
              <a:graphicData uri="http://schemas.openxmlformats.org/drawingml/2006/picture">
                <pic:pic>
                  <pic:nvPicPr>
                    <pic:cNvPr descr="evidencias/capturas/consola-git/EV-C204-033-screenshot-image10.png" id="127" name="Picture"/>
                    <pic:cNvPicPr>
                      <a:picLocks noChangeArrowheads="1" noChangeAspect="1"/>
                    </pic:cNvPicPr>
                  </pic:nvPicPr>
                  <pic:blipFill>
                    <a:blip r:embed="rId125"/>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29" name="Picture"/>
            <a:graphic>
              <a:graphicData uri="http://schemas.openxmlformats.org/drawingml/2006/picture">
                <pic:pic>
                  <pic:nvPicPr>
                    <pic:cNvPr descr="evidencias/capturas/consola-git/EV-C204-051-screenshot-image9.png" id="130" name="Picture"/>
                    <pic:cNvPicPr>
                      <a:picLocks noChangeArrowheads="1" noChangeAspect="1"/>
                    </pic:cNvPicPr>
                  </pic:nvPicPr>
                  <pic:blipFill>
                    <a:blip r:embed="rId128"/>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32" name="Picture"/>
            <a:graphic>
              <a:graphicData uri="http://schemas.openxmlformats.org/drawingml/2006/picture">
                <pic:pic>
                  <pic:nvPicPr>
                    <pic:cNvPr descr="evidencias/capturas/consola-git/EV-C204-050-screenshot-image8.png" id="133" name="Picture"/>
                    <pic:cNvPicPr>
                      <a:picLocks noChangeArrowheads="1" noChangeAspect="1"/>
                    </pic:cNvPicPr>
                  </pic:nvPicPr>
                  <pic:blipFill>
                    <a:blip r:embed="rId131"/>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35" name="Picture"/>
            <a:graphic>
              <a:graphicData uri="http://schemas.openxmlformats.org/drawingml/2006/picture">
                <pic:pic>
                  <pic:nvPicPr>
                    <pic:cNvPr descr="evidencias/capturas/consola-git/EV-C204-049-screenshot-image7.png" id="136" name="Picture"/>
                    <pic:cNvPicPr>
                      <a:picLocks noChangeArrowheads="1" noChangeAspect="1"/>
                    </pic:cNvPicPr>
                  </pic:nvPicPr>
                  <pic:blipFill>
                    <a:blip r:embed="rId134"/>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37"/>
    <w:bookmarkStart w:id="153"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artefactos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39" name="Picture"/>
            <a:graphic>
              <a:graphicData uri="http://schemas.openxmlformats.org/drawingml/2006/picture">
                <pic:pic>
                  <pic:nvPicPr>
                    <pic:cNvPr descr="evidencias/capturas/consola-git/EV-C204-048-screenshot-image6.png" id="140" name="Picture"/>
                    <pic:cNvPicPr>
                      <a:picLocks noChangeArrowheads="1" noChangeAspect="1"/>
                    </pic:cNvPicPr>
                  </pic:nvPicPr>
                  <pic:blipFill>
                    <a:blip r:embed="rId138"/>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tefactos del run #8 con su huella SHA-256: los de reporte-gitleaks, reporte-semgrep y reporte-zap coinciden con los zips instalados (EV-C204-020, 021 y 022)" title="" id="142" name="Picture"/>
            <a:graphic>
              <a:graphicData uri="http://schemas.openxmlformats.org/drawingml/2006/picture">
                <pic:pic>
                  <pic:nvPicPr>
                    <pic:cNvPr descr="evidencias/capturas/consola-git/EV-C204-038-screenshot-image15.png" id="143" name="Picture"/>
                    <pic:cNvPicPr>
                      <a:picLocks noChangeArrowheads="1" noChangeAspect="1"/>
                    </pic:cNvPicPr>
                  </pic:nvPicPr>
                  <pic:blipFill>
                    <a:blip r:embed="rId141"/>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Artefactos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45" name="Picture"/>
            <a:graphic>
              <a:graphicData uri="http://schemas.openxmlformats.org/drawingml/2006/picture">
                <pic:pic>
                  <pic:nvPicPr>
                    <pic:cNvPr descr="evidencias/capturas/consola-git/EV-C204-040-screenshot-image17.png" id="146" name="Picture"/>
                    <pic:cNvPicPr>
                      <a:picLocks noChangeArrowheads="1" noChangeAspect="1"/>
                    </pic:cNvPicPr>
                  </pic:nvPicPr>
                  <pic:blipFill>
                    <a:blip r:embed="rId144"/>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48" name="Picture"/>
            <a:graphic>
              <a:graphicData uri="http://schemas.openxmlformats.org/drawingml/2006/picture">
                <pic:pic>
                  <pic:nvPicPr>
                    <pic:cNvPr descr="evidencias/capturas/consola-git/EV-C204-041-screenshot-image18.png" id="149" name="Picture"/>
                    <pic:cNvPicPr>
                      <a:picLocks noChangeArrowheads="1" noChangeAspect="1"/>
                    </pic:cNvPicPr>
                  </pic:nvPicPr>
                  <pic:blipFill>
                    <a:blip r:embed="rId147"/>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51" name="Picture"/>
            <a:graphic>
              <a:graphicData uri="http://schemas.openxmlformats.org/drawingml/2006/picture">
                <pic:pic>
                  <pic:nvPicPr>
                    <pic:cNvPr descr="evidencias/capturas/consola-git/EV-C204-042-screenshot-image19.png" id="152" name="Picture"/>
                    <pic:cNvPicPr>
                      <a:picLocks noChangeArrowheads="1" noChangeAspect="1"/>
                    </pic:cNvPicPr>
                  </pic:nvPicPr>
                  <pic:blipFill>
                    <a:blip r:embed="rId150"/>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53"/>
    <w:bookmarkStart w:id="155"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54">
        <w:r>
          <w:rPr>
            <w:rStyle w:val="VerbatimChar"/>
          </w:rPr>
          <w:t xml:space="preserve">docs/tablas/tabla-3-diagnostico.md</w:t>
        </w:r>
      </w:hyperlink>
      <w:r>
        <w:t xml:space="preserve">.</w:t>
      </w:r>
    </w:p>
    <w:p>
      <w:pPr>
        <w:pStyle w:val="BodyText"/>
      </w:pPr>
      <w:r>
        <w:rPr>
          <w:bCs/>
          <w:b/>
        </w:rPr>
        <w:t xml:space="preserve">Hallazgo metodológico.</w:t>
      </w:r>
      <w:r>
        <w:t xml:space="preserve"> </w:t>
      </w:r>
      <w:r>
        <w:t xml:space="preserve">Cuatro debilidades reales del código oficial</w:t>
      </w:r>
      <w:r>
        <w:t xml:space="preserve"> </w:t>
      </w:r>
      <w:r>
        <w:rPr>
          <w:bCs/>
          <w:b/>
        </w:rPr>
        <w:t xml:space="preserve">no fueron detectadas por ninguna herramienta</w:t>
      </w:r>
      <w:r>
        <w:t xml:space="preserve"> </w:t>
      </w:r>
      <w:r>
        <w:t xml:space="preserve">(RSA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leyendo el código y sus marcadores</w:t>
      </w:r>
      <w:r>
        <w:t xml:space="preserve"> </w:t>
      </w:r>
      <w:r>
        <w:rPr>
          <w:rStyle w:val="VerbatimChar"/>
        </w:rPr>
        <w:t xml:space="preserve">[VULN-n]</w:t>
      </w:r>
      <w:r>
        <w:t xml:space="preserve">. Es la razón por la que el pipeline</w:t>
      </w:r>
      <w:r>
        <w:t xml:space="preserve"> </w:t>
      </w:r>
      <w:r>
        <w:rPr>
          <w:bCs/>
          <w:b/>
        </w:rPr>
        <w:t xml:space="preserve">complementa pero no sustituye</w:t>
      </w:r>
      <w:r>
        <w:t xml:space="preserve"> </w:t>
      </w:r>
      <w:r>
        <w:t xml:space="preserve">la revisión de código.</w:t>
      </w:r>
    </w:p>
    <w:bookmarkEnd w:id="155"/>
    <w:bookmarkEnd w:id="156"/>
    <w:bookmarkStart w:id="169" w:name="fase-2-remediación-de-rojo-a-verde"/>
    <w:p>
      <w:pPr>
        <w:pStyle w:val="Heading2"/>
      </w:pPr>
      <w:r>
        <w:t xml:space="preserve">14. Fase 2 — Remediación (de rojo a verde)</w:t>
      </w:r>
    </w:p>
    <w:bookmarkStart w:id="159"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57">
        <w:r>
          <w:rPr>
            <w:rStyle w:val="VerbatimChar"/>
          </w:rPr>
          <w:t xml:space="preserve">docs/tablas/tabla-4-evidencias.md</w:t>
        </w:r>
      </w:hyperlink>
      <w:r>
        <w:t xml:space="preserve">. El playbook de patrones de corrección está en</w:t>
      </w:r>
      <w:r>
        <w:t xml:space="preserve"> </w:t>
      </w:r>
      <w:hyperlink r:id="rId158">
        <w:r>
          <w:rPr>
            <w:rStyle w:val="VerbatimChar"/>
          </w:rPr>
          <w:t xml:space="preserve">docs/remediacion-playbook.md</w:t>
        </w:r>
      </w:hyperlink>
      <w:r>
        <w:t xml:space="preserve">.</w:t>
      </w:r>
    </w:p>
    <w:bookmarkEnd w:id="159"/>
    <w:bookmarkStart w:id="160"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Los tropiezos se dejan a la vista porque son parte del ciclo</w:t>
      </w:r>
      <w:r>
        <w:t xml:space="preserve"> </w:t>
      </w:r>
      <w:r>
        <w:rPr>
          <w:iCs/>
          <w:i/>
        </w:rPr>
        <w:t xml:space="preserve">encontrar → corregir → volver a probar</w:t>
      </w:r>
      <w:r>
        <w:t xml:space="preserve">: el error</w:t>
      </w:r>
      <w:r>
        <w:t xml:space="preserve"> </w:t>
      </w:r>
      <w:r>
        <w:rPr>
          <w:rStyle w:val="VerbatimChar"/>
        </w:rPr>
        <w:t xml:space="preserve">COPY public</w:t>
      </w:r>
      <w:r>
        <w:t xml:space="preserve"> </w:t>
      </w:r>
      <w:r>
        <w:t xml:space="preserve">lo introdujo la propia remediación (§8.5), el bump a</w:t>
      </w:r>
      <w:r>
        <w:t xml:space="preserve"> </w:t>
      </w:r>
      <w:r>
        <w:rPr>
          <w:rStyle w:val="VerbatimChar"/>
        </w:rPr>
        <w:t xml:space="preserve">node:22</w:t>
      </w:r>
      <w:r>
        <w:t xml:space="preserve"> </w:t>
      </w:r>
      <w:r>
        <w:t xml:space="preserve">no cerró los CVEs, y dos veces una corrección nueva encendió Semgrep en rojo hasta ajustarla.</w:t>
      </w:r>
    </w:p>
    <w:bookmarkEnd w:id="160"/>
    <w:bookmarkStart w:id="167"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EV-C204-012, EV-C204-013, EV-C204-025 y 026.</w:t>
      </w:r>
    </w:p>
    <w:p>
      <w:pPr>
        <w:pStyle w:val="CaptionedFigure"/>
      </w:pPr>
      <w:r>
        <w:drawing>
          <wp:inline>
            <wp:extent cx="5067300" cy="5595496"/>
            <wp:effectExtent b="0" l="0" r="0" t="0"/>
            <wp:docPr descr="EV-C204-013 — Run #27 (35442482331, commit 0fc1c11): los 5 jobs en verde y 5 artefactos con su huella SHA-256" title="" id="162" name="Picture"/>
            <a:graphic>
              <a:graphicData uri="http://schemas.openxmlformats.org/drawingml/2006/picture">
                <pic:pic>
                  <pic:nvPicPr>
                    <pic:cNvPr descr="evidencias/capturas/EV-C204-013-pipeline-verde.png" id="163" name="Picture"/>
                    <pic:cNvPicPr>
                      <a:picLocks noChangeArrowheads="1" noChangeAspect="1"/>
                    </pic:cNvPicPr>
                  </pic:nvPicPr>
                  <pic:blipFill>
                    <a:blip r:embed="rId161"/>
                    <a:stretch>
                      <a:fillRect/>
                    </a:stretch>
                  </pic:blipFill>
                  <pic:spPr bwMode="auto">
                    <a:xfrm>
                      <a:off x="0" y="0"/>
                      <a:ext cx="5067300" cy="5595496"/>
                    </a:xfrm>
                    <a:prstGeom prst="rect">
                      <a:avLst/>
                    </a:prstGeom>
                    <a:noFill/>
                    <a:ln w="9525">
                      <a:noFill/>
                      <a:headEnd/>
                      <a:tailEnd/>
                    </a:ln>
                  </pic:spPr>
                </pic:pic>
              </a:graphicData>
            </a:graphic>
          </wp:inline>
        </w:drawing>
      </w:r>
    </w:p>
    <w:p>
      <w:pPr>
        <w:pStyle w:val="ImageCaption"/>
      </w:pPr>
      <w:r>
        <w:t xml:space="preserve">EV-C204-013 — Run #27 (35442482331, commit</w:t>
      </w:r>
      <w:r>
        <w:t xml:space="preserve"> </w:t>
      </w:r>
      <w:r>
        <w:rPr>
          <w:rStyle w:val="VerbatimChar"/>
        </w:rPr>
        <w:t xml:space="preserve">0fc1c11</w:t>
      </w:r>
      <w:r>
        <w:t xml:space="preserve">): los 5 jobs en verde y 5 artefactos con su huella SHA-256</w:t>
      </w:r>
    </w:p>
    <w:p>
      <w:pPr>
        <w:pStyle w:val="BodyText"/>
      </w:pPr>
      <w:r>
        <w:drawing>
          <wp:inline>
            <wp:extent cx="5067300" cy="2352876"/>
            <wp:effectExtent b="0" l="0" r="0" t="0"/>
            <wp:docPr descr="EV-C204-012 — Code scanning (CodeQL): 0 alertas abiertas y 3 cerradas como corregidas («Missing rate limiting», servidor/servidor.js líneas 57, 72 y 86). El aviso rojo «CodeQL is reporting errors» es un mensaje de estado de GitHub visible en ese momento; los datos del repositorio (EV-C204-025) no muestran ningún error en los análisis" title="" id="165" name="Picture"/>
            <a:graphic>
              <a:graphicData uri="http://schemas.openxmlformats.org/drawingml/2006/picture">
                <pic:pic>
                  <pic:nvPicPr>
                    <pic:cNvPr descr="evidencias/capturas/EV-C204-012-codeql-alertas.png" id="166" name="Picture"/>
                    <pic:cNvPicPr>
                      <a:picLocks noChangeArrowheads="1" noChangeAspect="1"/>
                    </pic:cNvPicPr>
                  </pic:nvPicPr>
                  <pic:blipFill>
                    <a:blip r:embed="rId164"/>
                    <a:stretch>
                      <a:fillRect/>
                    </a:stretch>
                  </pic:blipFill>
                  <pic:spPr bwMode="auto">
                    <a:xfrm>
                      <a:off x="0" y="0"/>
                      <a:ext cx="5067300" cy="2352876"/>
                    </a:xfrm>
                    <a:prstGeom prst="rect">
                      <a:avLst/>
                    </a:prstGeom>
                    <a:noFill/>
                    <a:ln w="9525">
                      <a:noFill/>
                      <a:headEnd/>
                      <a:tailEnd/>
                    </a:ln>
                  </pic:spPr>
                </pic:pic>
              </a:graphicData>
            </a:graphic>
          </wp:inline>
        </w:drawing>
      </w:r>
      <w:r>
        <w:t xml:space="preserve"> </w:t>
      </w:r>
      <w:r>
        <w:t xml:space="preserve">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artefactos del run.</w:t>
      </w:r>
    </w:p>
    <w:bookmarkEnd w:id="167"/>
    <w:bookmarkStart w:id="168" w:name="X90c915205735c26bb30e51af496094beb9c6e7a"/>
    <w:p>
      <w:pPr>
        <w:pStyle w:val="Heading3"/>
      </w:pPr>
      <w:r>
        <w:t xml:space="preserve">14.4 Correcciones adicionales halladas al revisar contra la guía</w:t>
      </w:r>
    </w:p>
    <w:p>
      <w:pPr>
        <w:pStyle w:val="FirstParagraph"/>
      </w:pPr>
      <w:r>
        <w:t xml:space="preserve">La revisión final del código contra la guía y contra este informe encontró cuatro diferencias que el pipeline no detectaba, todas corregidas y probadas: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68"/>
    <w:bookmarkEnd w:id="169"/>
    <w:bookmarkStart w:id="173" w:name="protección-de-la-rama-principal"/>
    <w:p>
      <w:pPr>
        <w:pStyle w:val="Heading2"/>
      </w:pPr>
      <w:r>
        <w:t xml:space="preserve">15. Protección de la rama principal</w:t>
      </w:r>
    </w:p>
    <w:p>
      <w:pPr>
        <w:pStyle w:val="FirstParagraph"/>
      </w:pPr>
      <w:r>
        <w:rPr>
          <w:bCs/>
          <w:b/>
        </w:rPr>
        <w:t xml:space="preserve">Estado: activada el 19-sep-2026 por el titular del repositorio</w:t>
      </w:r>
      <w:r>
        <w:t xml:space="preserve"> </w:t>
      </w:r>
      <w:r>
        <w:t xml:space="preserve">(cambiar la configuración de seguridad de un repositorio es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aplicada (Settings → Rules → Rulesets → ruleset</w:t>
      </w:r>
      <w:r>
        <w:t xml:space="preserve"> </w:t>
      </w:r>
      <w:r>
        <w:rPr>
          <w:rStyle w:val="VerbatimChar"/>
        </w:rPr>
        <w:t xml:space="preserve">proteger-main</w:t>
      </w:r>
      <w:r>
        <w:t xml:space="preserve">, activo, objetivo: rama por defecto</w:t>
      </w:r>
      <w:r>
        <w:t xml:space="preserve"> </w:t>
      </w:r>
      <w:r>
        <w:rPr>
          <w:rStyle w:val="VerbatimChar"/>
        </w:rPr>
        <w:t xml:space="preserve">main</w:t>
      </w:r>
      <w:r>
        <w:t xml:space="preserve">, sin excepciones de</w:t>
      </w:r>
      <w:r>
        <w:t xml:space="preserve"> </w:t>
      </w:r>
      <w:r>
        <w:rPr>
          <w:iCs/>
          <w:i/>
        </w:rPr>
        <w:t xml:space="preserve">bypass</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Se verificó la configuración real con la API de GitHub (</w:t>
      </w:r>
      <w:r>
        <w:rPr>
          <w:rStyle w:val="VerbatimChar"/>
        </w:rPr>
        <w:t xml:space="preserve">EV-C204-030-ruleset-main.json</w:t>
      </w:r>
      <w:r>
        <w:t xml:space="preserve">): reglas</w:t>
      </w:r>
      <w:r>
        <w:t xml:space="preserve"> </w:t>
      </w:r>
      <w:r>
        <w:rPr>
          <w:rStyle w:val="VerbatimChar"/>
        </w:rPr>
        <w:t xml:space="preserve">deletion</w:t>
      </w:r>
      <w:r>
        <w:t xml:space="preserve">,</w:t>
      </w:r>
      <w:r>
        <w:t xml:space="preserve"> </w:t>
      </w:r>
      <w:r>
        <w:rPr>
          <w:rStyle w:val="VerbatimChar"/>
        </w:rPr>
        <w:t xml:space="preserve">non_fast_forward</w:t>
      </w:r>
      <w:r>
        <w:t xml:space="preserve">,</w:t>
      </w:r>
      <w:r>
        <w:t xml:space="preserve"> </w:t>
      </w:r>
      <w:r>
        <w:rPr>
          <w:rStyle w:val="VerbatimChar"/>
        </w:rPr>
        <w:t xml:space="preserve">pull_request</w:t>
      </w:r>
      <w:r>
        <w:t xml:space="preserve"> </w:t>
      </w:r>
      <w:r>
        <w:t xml:space="preserve">(0 aprobaciones) y</w:t>
      </w:r>
      <w:r>
        <w:t xml:space="preserve"> </w:t>
      </w:r>
      <w:r>
        <w:rPr>
          <w:rStyle w:val="VerbatimChar"/>
        </w:rPr>
        <w:t xml:space="preserve">required_status_checks</w:t>
      </w:r>
      <w:r>
        <w:t xml:space="preserve"> </w:t>
      </w:r>
      <w:r>
        <w:t xml:space="preserve">con los cinco nombres exactos del pipeline.</w:t>
      </w:r>
      <w:r>
        <w:t xml:space="preserve"> </w:t>
      </w:r>
      <w:r>
        <w:rPr>
          <w:bCs/>
          <w:b/>
        </w:rPr>
        <w:t xml:space="preserve">Consecuencia:</w:t>
      </w:r>
      <w:r>
        <w:t xml:space="preserve"> </w:t>
      </w:r>
      <w:r>
        <w:t xml:space="preserve">desde este momento todo cambio a</w:t>
      </w:r>
      <w:r>
        <w:t xml:space="preserve"> </w:t>
      </w:r>
      <w:r>
        <w:rPr>
          <w:rStyle w:val="VerbatimChar"/>
        </w:rPr>
        <w:t xml:space="preserve">main</w:t>
      </w:r>
      <w:r>
        <w:t xml:space="preserve"> </w:t>
      </w:r>
      <w:r>
        <w:t xml:space="preserve">entra por</w:t>
      </w:r>
      <w:r>
        <w:t xml:space="preserve"> </w:t>
      </w:r>
      <w:r>
        <w:rPr>
          <w:iCs/>
          <w:i/>
        </w:rPr>
        <w:t xml:space="preserve">pull request</w:t>
      </w:r>
      <w:r>
        <w:t xml:space="preserve"> </w:t>
      </w:r>
      <w:r>
        <w:t xml:space="preserve">y solo se puede fusionar con las cinco pruebas en verde.</w:t>
      </w:r>
    </w:p>
    <w:p>
      <w:pPr>
        <w:pStyle w:val="CaptionedFigure"/>
      </w:pPr>
      <w:r>
        <w:drawing>
          <wp:inline>
            <wp:extent cx="4800600" cy="2686623"/>
            <wp:effectExtent b="0" l="0" r="0" t="0"/>
            <wp:docPr descr="EV-C204-014 — Rulesets del repositorio: proteger-main activo, 4 reglas, 1 rama" title="" id="171" name="Picture"/>
            <a:graphic>
              <a:graphicData uri="http://schemas.openxmlformats.org/drawingml/2006/picture">
                <pic:pic>
                  <pic:nvPicPr>
                    <pic:cNvPr descr="evidencias/capturas/EV-C204-014-proteccion.png" id="172" name="Picture"/>
                    <pic:cNvPicPr>
                      <a:picLocks noChangeArrowheads="1" noChangeAspect="1"/>
                    </pic:cNvPicPr>
                  </pic:nvPicPr>
                  <pic:blipFill>
                    <a:blip r:embed="rId170"/>
                    <a:stretch>
                      <a:fillRect/>
                    </a:stretch>
                  </pic:blipFill>
                  <pic:spPr bwMode="auto">
                    <a:xfrm>
                      <a:off x="0" y="0"/>
                      <a:ext cx="4800600" cy="2686623"/>
                    </a:xfrm>
                    <a:prstGeom prst="rect">
                      <a:avLst/>
                    </a:prstGeom>
                    <a:noFill/>
                    <a:ln w="9525">
                      <a:noFill/>
                      <a:headEnd/>
                      <a:tailEnd/>
                    </a:ln>
                  </pic:spPr>
                </pic:pic>
              </a:graphicData>
            </a:graphic>
          </wp:inline>
        </w:drawing>
      </w:r>
    </w:p>
    <w:p>
      <w:pPr>
        <w:pStyle w:val="ImageCaption"/>
      </w:pPr>
      <w:r>
        <w:t xml:space="preserve">EV-C204-014 — Rulesets del repositorio:</w:t>
      </w:r>
      <w:r>
        <w:t xml:space="preserve"> </w:t>
      </w:r>
      <w:r>
        <w:rPr>
          <w:rStyle w:val="VerbatimChar"/>
        </w:rPr>
        <w:t xml:space="preserve">proteger-main</w:t>
      </w:r>
      <w:r>
        <w:t xml:space="preserve"> </w:t>
      </w:r>
      <w:r>
        <w:t xml:space="preserve">activo, 4 reglas, 1 rama</w:t>
      </w:r>
    </w:p>
    <w:p>
      <w:pPr>
        <w:pStyle w:val="BodyText"/>
      </w:pPr>
      <w:r>
        <w:rPr>
          <w:bCs/>
          <w:b/>
        </w:rPr>
        <w:t xml:space="preserve">Evidencia:</w:t>
      </w:r>
      <w:r>
        <w:t xml:space="preserve"> </w:t>
      </w:r>
      <w:r>
        <w:t xml:space="preserve">EV-C204-014 y EV-C204-030.</w:t>
      </w:r>
    </w:p>
    <w:p>
      <w:r>
        <w:pict>
          <v:rect style="width:0;height:1.5pt" o:hralign="center" o:hrstd="t" o:hr="t"/>
        </w:pict>
      </w:r>
    </w:p>
    <w:bookmarkEnd w:id="173"/>
    <w:bookmarkEnd w:id="174"/>
    <w:bookmarkStart w:id="181" w:name="parte-iv-pruebas-y-riesgos"/>
    <w:p>
      <w:pPr>
        <w:pStyle w:val="Heading1"/>
      </w:pPr>
      <w:r>
        <w:t xml:space="preserve">PARTE IV — PRUEBAS Y RIESGOS</w:t>
      </w:r>
    </w:p>
    <w:bookmarkStart w:id="176"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75">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76"/>
    <w:bookmarkStart w:id="178"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77">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Ejecutadas por el equipo en el Codespace:</w:t>
      </w:r>
      <w:r>
        <w:t xml:space="preserve"> </w:t>
      </w:r>
      <w:r>
        <w:t xml:space="preserve">P-27 (app móvil, EV-C204-006) y P-28 (Keycloak, EV-C204-003 a 005).</w:t>
      </w:r>
    </w:p>
    <w:bookmarkEnd w:id="178"/>
    <w:bookmarkStart w:id="180" w:name="plantilla-de-diagnóstico-del-curso"/>
    <w:p>
      <w:pPr>
        <w:pStyle w:val="Heading2"/>
      </w:pPr>
      <w:r>
        <w:t xml:space="preserve">18. Plantilla de diagnóstico del curso</w:t>
      </w:r>
    </w:p>
    <w:p>
      <w:pPr>
        <w:pStyle w:val="BlockText"/>
      </w:pPr>
      <w:r>
        <w:t xml:space="preserve">Ver</w:t>
      </w:r>
      <w:r>
        <w:t xml:space="preserve"> </w:t>
      </w:r>
      <w:hyperlink r:id="rId179">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80"/>
    <w:bookmarkEnd w:id="181"/>
    <w:bookmarkStart w:id="239" w:name="parte-v-cierre-académico"/>
    <w:p>
      <w:pPr>
        <w:pStyle w:val="Heading1"/>
      </w:pPr>
      <w:r>
        <w:t xml:space="preserve">PARTE V — CIERRE ACADÉMICO</w:t>
      </w:r>
    </w:p>
    <w:bookmarkStart w:id="182"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82"/>
    <w:bookmarkStart w:id="183"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Pero el pipeline verde no equivale a un servicio correcto.</w:t>
      </w:r>
      <w:r>
        <w:t xml:space="preserve"> </w:t>
      </w:r>
      <w:r>
        <w:t xml:space="preserve">El pipeline llegó a verde con una autenticación (HS256) que no funcionaba con Keycloak, con un informe que prometía OAEP-SHA256 y una bitácora que no existían, y con un límite de texto que producía errores 500. Estos defectos solo salieron al</w:t>
      </w:r>
      <w:r>
        <w:t xml:space="preserve"> </w:t>
      </w:r>
      <w:r>
        <w:rPr>
          <w:bCs/>
          <w:b/>
        </w:rPr>
        <w:t xml:space="preserve">probar el servicio de verdad</w:t>
      </w:r>
      <w:r>
        <w:t xml:space="preserve"> </w:t>
      </w:r>
      <w:r>
        <w:t xml:space="preserve">contra un Keycloak real y al cruzar el informe con el código. La lección: SAST, SCA, DAST y secretos son necesarios, no suficientes.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Corregir puede romper.</w:t>
      </w:r>
      <w:r>
        <w:t xml:space="preserve"> </w:t>
      </w:r>
      <w:r>
        <w:t xml:space="preserve">La remediación introdujo por sí misma un error de construcción (</w:t>
      </w:r>
      <w:r>
        <w:rPr>
          <w:rStyle w:val="VerbatimChar"/>
        </w:rPr>
        <w:t xml:space="preserve">COPY public</w:t>
      </w:r>
      <w:r>
        <w:t xml:space="preserve">), y dos correcciones nuevas volvieron a poner Semgrep en rojo. Verificar después de cada cambio no es opcional.</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Keycloak funcionaron en el Codespace del equipo (EV-C204-005 y 006); solo falta la captura de</w:t>
      </w:r>
      <w:r>
        <w:t xml:space="preserve"> </w:t>
      </w:r>
      <w:r>
        <w:rPr>
          <w:rStyle w:val="VerbatimChar"/>
        </w:rPr>
        <w:t xml:space="preserve">docker --version</w:t>
      </w:r>
      <w:r>
        <w:t xml:space="preserve">; las llaves RSA se generan en memoria y se pierden al reiniciar (adecuado para un laboratorio, no para producción).</w:t>
      </w:r>
    </w:p>
    <w:bookmarkEnd w:id="183"/>
    <w:bookmarkStart w:id="184"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Mantener la protección de</w:t>
      </w:r>
      <w:r>
        <w:rPr>
          <w:bCs/>
          <w:b/>
        </w:rPr>
        <w:t xml:space="preserve"> </w:t>
      </w:r>
      <w:r>
        <w:rPr>
          <w:rStyle w:val="VerbatimChar"/>
          <w:bCs/>
          <w:b/>
        </w:rPr>
        <w:t xml:space="preserve">main</w:t>
      </w:r>
      <w:r>
        <w:t xml:space="preserve"> </w:t>
      </w:r>
      <w:r>
        <w:t xml:space="preserve">(§15, ya activa) y, si el equipo crece, exigir al menos una aprobación de revisión.</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el hallazgo metodológico de §13.4.</w:t>
      </w:r>
    </w:p>
    <w:bookmarkEnd w:id="184"/>
    <w:bookmarkStart w:id="185"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85"/>
    <w:bookmarkStart w:id="186"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86"/>
    <w:bookmarkStart w:id="187"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Nota de transparencia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87"/>
    <w:bookmarkStart w:id="225" w:name="anexo-a-tablas-16-completas"/>
    <w:p>
      <w:pPr>
        <w:pStyle w:val="Heading2"/>
      </w:pPr>
      <w:r>
        <w:t xml:space="preserve">Anexo A — Tablas 1–6 completas</w:t>
      </w:r>
    </w:p>
    <w:bookmarkStart w:id="193" w:name="tabla-1-requisitos-de-seguridad"/>
    <w:p>
      <w:pPr>
        <w:pStyle w:val="Heading3"/>
      </w:pPr>
      <w:r>
        <w:t xml:space="preserve">Tabla 1 — Requisitos de seguridad</w:t>
      </w:r>
    </w:p>
    <w:p>
      <w:pPr>
        <w:pStyle w:val="BlockText"/>
      </w:pPr>
      <w:r>
        <w:t xml:space="preserve">📄</w:t>
      </w:r>
      <w:r>
        <w:t xml:space="preserve"> </w:t>
      </w:r>
      <w:r>
        <w:rPr>
          <w:bCs/>
          <w:b/>
        </w:rPr>
        <w:t xml:space="preserve">Tabla a llenar</w:t>
      </w:r>
      <w:r>
        <w:t xml:space="preserve"> </w:t>
      </w:r>
      <w:r>
        <w:t xml:space="preserve">— Primer Avance. Define qué debe proteger el sistema antes de tocar código.</w:t>
      </w:r>
      <w:r>
        <w:t xml:space="preserve"> </w:t>
      </w:r>
      <w:r>
        <w:t xml:space="preserve">Marco de referencia: OWASP SAMM, NIST SSDF, OWASP ASVS y OWASP MASVS.</w:t>
      </w:r>
    </w:p>
    <w:bookmarkStart w:id="188"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88"/>
    <w:bookmarkStart w:id="189"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89"/>
    <w:bookmarkStart w:id="190"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90"/>
    <w:bookmarkStart w:id="191"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91"/>
    <w:bookmarkStart w:id="192" w:name="nota-de-trazabilidad"/>
    <w:p>
      <w:pPr>
        <w:pStyle w:val="Heading4"/>
      </w:pPr>
      <w:r>
        <w:t xml:space="preserve">Nota de trazabilidad</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92"/>
    <w:bookmarkEnd w:id="193"/>
    <w:bookmarkStart w:id="199" w:name="tabla-2-amenazas-stride"/>
    <w:p>
      <w:pPr>
        <w:pStyle w:val="Heading3"/>
      </w:pPr>
      <w:r>
        <w:t xml:space="preserve">Tabla 2 — Amenazas STRIDE</w:t>
      </w:r>
    </w:p>
    <w:p>
      <w:pPr>
        <w:pStyle w:val="BlockText"/>
      </w:pPr>
      <w:r>
        <w:t xml:space="preserve">📄</w:t>
      </w:r>
      <w:r>
        <w:t xml:space="preserve"> </w:t>
      </w:r>
      <w:r>
        <w:rPr>
          <w:bCs/>
          <w:b/>
        </w:rPr>
        <w:t xml:space="preserve">Tabla a llenar</w:t>
      </w:r>
      <w:r>
        <w:t xml:space="preserve"> </w:t>
      </w:r>
      <w:r>
        <w:t xml:space="preserve">— Primer Avance. Modelado de amenazas con STRIDE (Microsoft): por cada amenaza, qué componente afecta, un ejemplo de ataque y cómo se frena.</w:t>
      </w:r>
    </w:p>
    <w:bookmarkStart w:id="194"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94"/>
    <w:bookmarkStart w:id="195"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95"/>
    <w:bookmarkStart w:id="196"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96"/>
    <w:bookmarkStart w:id="197"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197"/>
    <w:bookmarkStart w:id="198" w:name="nota-de-trazabilidad-1"/>
    <w:p>
      <w:pPr>
        <w:pStyle w:val="Heading4"/>
      </w:pPr>
      <w:r>
        <w:t xml:space="preserve">Nota de trazabilidad</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198"/>
    <w:bookmarkEnd w:id="199"/>
    <w:bookmarkStart w:id="205" w:name="X88e3b57aa7f7cbbca5e2ce00a2ca14142f424a2"/>
    <w:p>
      <w:pPr>
        <w:pStyle w:val="Heading3"/>
      </w:pPr>
      <w:r>
        <w:t xml:space="preserve">Tabla 3 — Diagnóstico de seguridad (Fase 1, pipeline en rojo)</w:t>
      </w:r>
    </w:p>
    <w:p>
      <w:pPr>
        <w:pStyle w:val="BlockText"/>
      </w:pPr>
      <w:r>
        <w:rPr>
          <w:bCs/>
          <w:b/>
        </w:rPr>
        <w:t xml:space="preserve">Estado: COMPLETA con datos reales.</w:t>
      </w:r>
      <w:r>
        <w:t xml:space="preserve"> </w:t>
      </w: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artefactos), EV-C204-027 (SBOM) y EV-C204-028 (log de los jobs en rojo); capturas de pantalla EV-C204-033 a EV-C204-051.</w:t>
      </w:r>
    </w:p>
    <w:bookmarkStart w:id="200"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200"/>
    <w:bookmarkStart w:id="201"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Nota de honestidad sobre la plantilla original:</w:t>
      </w:r>
      <w:r>
        <w:t xml:space="preserve"> </w:t>
      </w:r>
      <w:r>
        <w:t xml:space="preserve">la versión preliminar de esta tabla listaba «H-12 SCA / Trivy (fs)». En la corrida real el job SCA se detuvo en</w:t>
      </w:r>
      <w:r>
        <w:t xml:space="preserve"> </w:t>
      </w:r>
      <w:r>
        <w:rPr>
          <w:rStyle w:val="VerbatimChar"/>
        </w:rPr>
        <w:t xml:space="preserve">npm audit</w:t>
      </w:r>
      <w:r>
        <w:t xml:space="preserve"> </w:t>
      </w:r>
      <w:r>
        <w:t xml:space="preserve">(código de salida 1) antes de llegar a Trivy (fs), por lo que ese hallazgo quedó cubierto por H-02 y H-07 y no se cuenta aparte. Los hallazgos H-06, H-10, H-12 y H-16 son debilidades reales del código oficial que</w:t>
      </w:r>
      <w:r>
        <w:t xml:space="preserve"> </w:t>
      </w:r>
      <w:r>
        <w:rPr>
          <w:bCs/>
          <w:b/>
        </w:rPr>
        <w:t xml:space="preserve">las herramientas no detectaron</w:t>
      </w:r>
      <w:r>
        <w:t xml:space="preserve">: por eso la revisión manual del código sigue siendo necesaria además del pipeline.</w:t>
      </w:r>
    </w:p>
    <w:bookmarkEnd w:id="201"/>
    <w:bookmarkStart w:id="202"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202"/>
    <w:bookmarkStart w:id="203"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203"/>
    <w:bookmarkStart w:id="204"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204"/>
    <w:bookmarkEnd w:id="205"/>
    <w:bookmarkStart w:id="208" w:name="X37972edf4fadebafaabacd263fa60fae156b3b2"/>
    <w:p>
      <w:pPr>
        <w:pStyle w:val="Heading3"/>
      </w:pPr>
      <w:r>
        <w:t xml:space="preserve">Tabla 4 — Evidencia antes/después (Fase 2, de rojo a verde)</w:t>
      </w:r>
    </w:p>
    <w:p>
      <w:pPr>
        <w:pStyle w:val="BlockText"/>
      </w:pPr>
      <w:r>
        <w:rPr>
          <w:bCs/>
          <w:b/>
        </w:rPr>
        <w:t xml:space="preserve">Estado: COMPLETA con datos reales.</w:t>
      </w:r>
      <w:r>
        <w:t xml:space="preserve"> </w:t>
      </w: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206"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206"/>
    <w:bookmarkStart w:id="207"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es un commit separado con mensaje descriptivo y la corrida que lo verifica, tal como pide la rúbrica («Pruebas y ajustes de código»). Los tropiezos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w:t>
      </w:r>
      <w:r>
        <w:t xml:space="preserve"> </w:t>
      </w:r>
      <w:r>
        <w:rPr>
          <w:rStyle w:val="VerbatimChar"/>
        </w:rPr>
        <w:t xml:space="preserve">8b9b0b6</w:t>
      </w:r>
      <w:r>
        <w:t xml:space="preserve">) se dejan a la vista a propósito: forman parte del ciclo</w:t>
      </w:r>
      <w:r>
        <w:t xml:space="preserve"> </w:t>
      </w:r>
      <w:r>
        <w:rPr>
          <w:iCs/>
          <w:i/>
        </w:rPr>
        <w:t xml:space="preserve">encontrar → corregir → volver a probar</w:t>
      </w:r>
      <w:r>
        <w:t xml:space="preserve">.</w:t>
      </w:r>
    </w:p>
    <w:bookmarkEnd w:id="207"/>
    <w:bookmarkEnd w:id="208"/>
    <w:bookmarkStart w:id="217" w:name="tabla-5-cálculo-de-riesgo"/>
    <w:p>
      <w:pPr>
        <w:pStyle w:val="Heading3"/>
      </w:pPr>
      <w:r>
        <w:t xml:space="preserve">Tabla 5 — Cálculo de riesgo</w:t>
      </w:r>
    </w:p>
    <w:p>
      <w:pPr>
        <w:pStyle w:val="BlockText"/>
      </w:pPr>
      <w:r>
        <w:rPr>
          <w:bCs/>
          <w:b/>
        </w:rPr>
        <w:t xml:space="preserve">Estado: COMPLETA.</w:t>
      </w:r>
      <w:r>
        <w:t xml:space="preserve"> </w:t>
      </w:r>
      <w:r>
        <w:t xml:space="preserve">Probabilidad e impacto se recalcularon con los hallazgos</w:t>
      </w:r>
      <w:r>
        <w:t xml:space="preserve"> </w:t>
      </w:r>
      <w:r>
        <w:rPr>
          <w:bCs/>
          <w:b/>
        </w:rPr>
        <w:t xml:space="preserve">confirmados</w:t>
      </w:r>
      <w:r>
        <w:t xml:space="preserve"> </w:t>
      </w:r>
      <w:r>
        <w:t xml:space="preserve">de la Fase 1 (Tabla 3) y se calcula el riesgo</w:t>
      </w:r>
      <w:r>
        <w:t xml:space="preserve"> </w:t>
      </w:r>
      <w:r>
        <w:rPr>
          <w:bCs/>
          <w:b/>
        </w:rPr>
        <w:t xml:space="preserve">residual</w:t>
      </w:r>
      <w:r>
        <w:t xml:space="preserve"> </w:t>
      </w:r>
      <w:r>
        <w:t xml:space="preserve">con la evidencia de la corrida verde 35442482331 (Tabla 4). Los valores de P e I son un juicio fundamentado del equipo con la escala documentada abajo; no son mediciones.</w:t>
      </w:r>
    </w:p>
    <w:bookmarkStart w:id="209"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209"/>
    <w:bookmarkStart w:id="210"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210"/>
    <w:bookmarkStart w:id="213" w:name="análisis-gerencial-complementario"/>
    <w:p>
      <w:pPr>
        <w:pStyle w:val="Heading4"/>
      </w:pPr>
      <w:r>
        <w:t xml:space="preserve">Análisis gerencial complementario</w:t>
      </w:r>
    </w:p>
    <w:bookmarkStart w:id="211"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211"/>
    <w:bookmarkStart w:id="212"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212"/>
    <w:bookmarkEnd w:id="213"/>
    <w:bookmarkStart w:id="214"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214"/>
    <w:bookmarkStart w:id="215"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215"/>
    <w:bookmarkStart w:id="216" w:name="nota-de-trazabilidad-2"/>
    <w:p>
      <w:pPr>
        <w:pStyle w:val="Heading4"/>
      </w:pPr>
      <w:r>
        <w:t xml:space="preserve">Nota de trazabilidad</w:t>
      </w:r>
    </w:p>
    <w:p>
      <w:pPr>
        <w:pStyle w:val="FirstParagraph"/>
      </w:pPr>
      <w:r>
        <w:t xml:space="preserve">Esta tabla alimenta: informe §16, la plantilla de diagnóstico y la Tabla 4.</w:t>
      </w:r>
    </w:p>
    <w:bookmarkEnd w:id="216"/>
    <w:bookmarkEnd w:id="217"/>
    <w:bookmarkStart w:id="224" w:name="tabla-6-documentación-de-pruebas"/>
    <w:p>
      <w:pPr>
        <w:pStyle w:val="Heading3"/>
      </w:pPr>
      <w:r>
        <w:t xml:space="preserve">Tabla 6 — Documentación de pruebas</w:t>
      </w:r>
    </w:p>
    <w:p>
      <w:pPr>
        <w:pStyle w:val="BlockText"/>
      </w:pPr>
      <w:r>
        <w:rPr>
          <w:bCs/>
          <w:b/>
        </w:rPr>
        <w:t xml:space="preserve">Estado: COMPLETA con resultados reales</w:t>
      </w:r>
      <w:r>
        <w:t xml:space="preserve">, salvo la captura de</w:t>
      </w:r>
      <w:r>
        <w:t xml:space="preserve"> </w:t>
      </w:r>
      <w:r>
        <w:rPr>
          <w:rStyle w:val="VerbatimChar"/>
        </w:rPr>
        <w:t xml:space="preserve">docker --version</w:t>
      </w:r>
      <w:r>
        <w:t xml:space="preserve"> </w:t>
      </w:r>
      <w:r>
        <w:t xml:space="preserve">(opcional). 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218"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218"/>
    <w:bookmarkStart w:id="219"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219"/>
    <w:bookmarkStart w:id="220"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220"/>
    <w:bookmarkStart w:id="221"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221"/>
    <w:bookmarkStart w:id="222"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222"/>
    <w:bookmarkStart w:id="223" w:name="X8a95880c961ad3037e5a2ad01059107ef6af684"/>
    <w:p>
      <w:pPr>
        <w:pStyle w:val="Heading4"/>
      </w:pPr>
      <w:r>
        <w:t xml:space="preserve">Pruebas ejecutadas por el equipo en el Codespace</w:t>
      </w:r>
    </w:p>
    <w:tbl>
      <w:tblPr>
        <w:tblStyle w:val="Table"/>
        <w:tblW w:type="pct" w:w="5000"/>
        <w:tblLook w:firstRow="1" w:lastRow="0" w:firstColumn="0" w:lastColumn="0" w:noHBand="0" w:noVBand="0" w:val="0020"/>
        <w:jc w:val="start"/>
      </w:tblPr>
      <w:tblGrid>
        <w:gridCol w:w="399"/>
        <w:gridCol w:w="1999"/>
        <w:gridCol w:w="1999"/>
        <w:gridCol w:w="1119"/>
        <w:gridCol w:w="1999"/>
        <w:gridCol w:w="399"/>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Texto «Hola CIB-204», URL pública del puerto 3000, sin token (</w:t>
            </w:r>
            <w:r>
              <w:rPr>
                <w:rStyle w:val="VerbatimChar"/>
              </w:rPr>
              <w:t xml:space="preserve">AUTH_ENABLED=false</w:t>
            </w:r>
            <w:r>
              <w:t xml:space="preserve">)</w:t>
            </w:r>
          </w:p>
        </w:tc>
        <w:tc>
          <w:tcPr/>
          <w:p>
            <w:pPr>
              <w:pStyle w:val="Compact"/>
              <w:jc w:val="left"/>
            </w:pPr>
            <w:r>
              <w:t xml:space="preserve">Cifrado y descifrado correctos</w:t>
            </w:r>
          </w:p>
        </w:tc>
        <w:tc>
          <w:tcPr/>
          <w:p>
            <w:pPr>
              <w:pStyle w:val="Compact"/>
              <w:jc w:val="left"/>
            </w:pPr>
            <w:r>
              <w:t xml:space="preserve">«Descifrado OK»: la app mostró el cifrado en base64 y recuperó «Hola CIB-204» (EV-C204-006)</w:t>
            </w:r>
          </w:p>
        </w:tc>
        <w:tc>
          <w:tcPr/>
          <w:p>
            <w:pPr>
              <w:pStyle w:val="Compact"/>
              <w:jc w:val="left"/>
            </w:pPr>
            <w:r>
              <w:t xml:space="preserve">✅</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Usuario</w:t>
            </w:r>
            <w:r>
              <w:t xml:space="preserve"> </w:t>
            </w:r>
            <w:r>
              <w:rPr>
                <w:rStyle w:val="VerbatimChar"/>
              </w:rPr>
              <w:t xml:space="preserve">demo</w:t>
            </w:r>
            <w:r>
              <w:t xml:space="preserve"> </w:t>
            </w:r>
            <w:r>
              <w:t xml:space="preserve">en el realm</w:t>
            </w:r>
            <w:r>
              <w:t xml:space="preserve"> </w:t>
            </w:r>
            <w:r>
              <w:rPr>
                <w:rStyle w:val="VerbatimChar"/>
              </w:rPr>
              <w:t xml:space="preserve">appmovil</w:t>
            </w:r>
          </w:p>
        </w:tc>
        <w:tc>
          <w:tcPr/>
          <w:p>
            <w:pPr>
              <w:pStyle w:val="Compact"/>
              <w:jc w:val="left"/>
            </w:pPr>
            <w:r>
              <w:t xml:space="preserve">Usuario creado y habilitado</w:t>
            </w:r>
          </w:p>
        </w:tc>
        <w:tc>
          <w:tcPr/>
          <w:p>
            <w:pPr>
              <w:pStyle w:val="Compact"/>
              <w:jc w:val="left"/>
            </w:pPr>
            <w:r>
              <w:t xml:space="preserve">Realm</w:t>
            </w:r>
            <w:r>
              <w:t xml:space="preserve"> </w:t>
            </w:r>
            <w:r>
              <w:rPr>
                <w:rStyle w:val="VerbatimChar"/>
              </w:rPr>
              <w:t xml:space="preserve">appmovil</w:t>
            </w:r>
            <w:r>
              <w:t xml:space="preserve">, cliente</w:t>
            </w:r>
            <w:r>
              <w:t xml:space="preserve"> </w:t>
            </w:r>
            <w:r>
              <w:rPr>
                <w:rStyle w:val="VerbatimChar"/>
              </w:rPr>
              <w:t xml:space="preserve">servicio-cifrado</w:t>
            </w:r>
            <w:r>
              <w:t xml:space="preserve"> </w:t>
            </w:r>
            <w:r>
              <w:t xml:space="preserve">y usuario</w:t>
            </w:r>
            <w:r>
              <w:t xml:space="preserve"> </w:t>
            </w:r>
            <w:r>
              <w:rPr>
                <w:rStyle w:val="VerbatimChar"/>
              </w:rPr>
              <w:t xml:space="preserve">demo</w:t>
            </w:r>
            <w:r>
              <w:t xml:space="preserve"> </w:t>
            </w:r>
            <w:r>
              <w:t xml:space="preserve">habilitado con email verificado, todos en la consola del Codespace (EV-C204-003, 004 y 005)</w:t>
            </w:r>
          </w:p>
        </w:tc>
        <w:tc>
          <w:tcPr/>
          <w:p>
            <w:pPr>
              <w:pStyle w:val="Compact"/>
              <w:jc w:val="left"/>
            </w:pPr>
            <w:r>
              <w:t xml:space="preserve">✅</w:t>
            </w:r>
          </w:p>
        </w:tc>
      </w:tr>
    </w:tbl>
    <w:p>
      <w:pPr>
        <w:pStyle w:val="BlockText"/>
      </w:pPr>
      <w:r>
        <w:rPr>
          <w:bCs/>
          <w:b/>
        </w:rPr>
        <w:t xml:space="preserve">Observación sobre EV-C204-005:</w:t>
      </w:r>
      <w:r>
        <w:t xml:space="preserve"> </w:t>
      </w:r>
      <w:r>
        <w:t xml:space="preserve">el usuario aparece con la acción requerida «</w:t>
      </w:r>
      <w:r>
        <w:rPr>
          <w:bCs/>
          <w:b/>
        </w:rPr>
        <w:t xml:space="preserve">Update Password</w:t>
      </w:r>
      <w:r>
        <w:t xml:space="preserve">». Con esa acción pendiente,</w:t>
      </w:r>
      <w:r>
        <w:t xml:space="preserve"> </w:t>
      </w:r>
      <w:r>
        <w:rPr>
          <w:rStyle w:val="VerbatimChar"/>
        </w:rPr>
        <w:t xml:space="preserve">demo</w:t>
      </w:r>
      <w:r>
        <w:t xml:space="preserve"> </w:t>
      </w:r>
      <w:r>
        <w:rPr>
          <w:bCs/>
          <w:b/>
        </w:rPr>
        <w:t xml:space="preserve">no puede obtener un token</w:t>
      </w:r>
      <w:r>
        <w:t xml:space="preserve"> </w:t>
      </w:r>
      <w:r>
        <w:t xml:space="preserve">por contraseña directa (Keycloak exige cambiar la clave primero). La prueba de la app (P-27) no lo necesita porque se hizo con el acceso apagado. Para probar la app</w:t>
      </w:r>
      <w:r>
        <w:t xml:space="preserve"> </w:t>
      </w:r>
      <w:r>
        <w:rPr>
          <w:bCs/>
          <w:b/>
        </w:rPr>
        <w:t xml:space="preserve">con token</w:t>
      </w:r>
      <w:r>
        <w:t xml:space="preserve"> </w:t>
      </w:r>
      <w:r>
        <w:t xml:space="preserve">hay que quitar esa acción del usuario (campo «Required user actions») o crear la contraseña con «Temporary» desactivado.</w:t>
      </w:r>
    </w:p>
    <w:bookmarkEnd w:id="223"/>
    <w:bookmarkEnd w:id="224"/>
    <w:bookmarkEnd w:id="225"/>
    <w:bookmarkStart w:id="226" w:name="nota-de-trazabilidad-3"/>
    <w:p>
      <w:pPr>
        <w:pStyle w:val="Heading2"/>
      </w:pPr>
      <w:r>
        <w:t xml:space="preserve">Nota de trazabilidad</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226"/>
    <w:bookmarkStart w:id="227"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artefactos del run 35442482331 (</w:t>
      </w:r>
      <w:r>
        <w:rPr>
          <w:rStyle w:val="VerbatimChar"/>
        </w:rPr>
        <w:t xml:space="preserve">bash scripts/verificar-evidencia.sh 35442482331</w:t>
      </w:r>
      <w:r>
        <w:t xml:space="preserve">). Los tres zips de la Fase 1 son idénticos a los artefactos del run 35365578175, cuya huella SHA-256 se ve en la captura EV-C204-038.</w:t>
      </w:r>
    </w:p>
    <w:p>
      <w:r>
        <w:pict>
          <v:rect style="width:0;height:1.5pt" o:hralign="center" o:hrstd="t" o:hr="t"/>
        </w:pict>
      </w:r>
    </w:p>
    <w:bookmarkEnd w:id="227"/>
    <w:bookmarkStart w:id="228"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28"/>
    <w:bookmarkStart w:id="229"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188"/>
        <w:gridCol w:w="1663"/>
        <w:gridCol w:w="506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Mensaje</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 inicial del proyecto DevSecOps CIB-204: documentación, tablas, evidencias, pipeline y entorno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Plan de acción 100% rúbrica + datos del curso validados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Repo privado durante el desarrollo; público al finalizar (CodeQL)</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Avance sin zip: validación de objetivos, Tablas 1-2 completas, Parte I del informe, figuras SVG, playbook de remediac…</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Avance sin zip (2): Parte II del informe (diseño RSA/JWT/pipeline), Tablas 3-5-6 pre-llenadas, casos de abuso, invent…</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 material oficial (zip CIB-204 §17): 13 vulnerabilidades reales VULN-1..13 con CWE (RSA-PKCS1/1024, .env con A…</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Anexo F cierre §17: informe maestro renderizado en PDF (15 pag, pdflatex limpio) y DOCX con acentos ok; manifiesto SH…</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devcontainer: quita docker-in-docker (causa recovery-mode en plan gratis 2-core); pasa a imagen Node 20 ligera para a…</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remediacion(servidor): cierra 13 hallazgos SAST para pipeline verde Fase 2</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fix(imagen): quita COPY public residuo que rompia el build (Trivy+ZAP+SBOM en cascada)</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fix(imagen): base node:22-bookworm-slim cierra CVE-2026-76642/76643 de Trivy (util-linux 2.40 parcheado)</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docs(informe): §8 documenta correccion del Dockerfile (COPY public no era del zip) y CodeQL default setup</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fix(pipeline): fija acciones a SHA completo (16 hallazgos supply chain Semgrep) y suprime falso positivo CSRF (API JW…</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fix(imagen): multi-stage node:24-trixie-slim + apt upgrade + quita npm del runtime; Trivy 0 hallazgos con –ignore-un…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docs(informe): §8.5/§8.6 y playbook DoD actualizados con pipeline verde (5 jobs + CodeQL default setup) y riesgo resi…</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fix(servidor): FIX-17 Permissions-Policy (camera/mic/geo/payment/usb=()) cierra hallazgo Low de ZAP ’Permissions Poli…</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fix(servidor): FIX-18 excluye docs/ del SAST Semgrep (.semgrepignore + –exclude) y pasa CSRF a nosemgrep inline en s…</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docs(evidencias): manifiesto SHA-256 canónico regenerado y coincidente con los 4 EV descargados del run verde 3540583…</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docs(evidencias): EV-C204-018..051 — evidencia completa del cierre FIX-18: PPT/PDF de la consola Git del usuario + 19…</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fix(evidencias): FIX-18 — convergencia byte-exacta de EV-C204-010 (sbom) y EV-C204-011 (zap.html) con los artefactos …</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docs(evidencias): FIX-18 cierre — EV-C204-010 sbom y EV-C204-011 zap re-instalados byte-exactos desde el run verde 35…</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docs(informe): FIX-18 cierre — cito tus 19 slides EV-C204-033..051 individualmente en §12.6 del informe, cada una en …</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docs(evidencias): FIX-18 cierre — Anexo I con las 19 capturas de consola Git individualizadas EV-C204-033..051 (hashe…</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docs(auditoria): INSTRUCCIONES-AUDITORIA-AI.md — handoff autocontenido para auditoría externa por IA: qué/cómo/por-qu…</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fix(auth): valida tokens de Keycloak con RS256 + JWKS (guia 10.5, informe 11.2)</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test(auth): secreto HS256 aleatorio en la prueba (Semgrep jwt-hardcode lo marcaba como credencial fija)</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fix(servidor): FIX-19 limite de peticiones por IP (CodeQL js/missing-rate-limiting)</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fix(servidor): FIX-20 OAEP-SHA256 explicito y FIX-21 bitacora de operaciones</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test(e2e): altera un caracter central de la firma (el ultimo caracter base64 no cambia los bytes)</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fix(servidor): FIX-22 limite de entrada = capacidad real de RSA-OAEP (190 bytes)</w:t>
            </w:r>
          </w:p>
        </w:tc>
      </w:tr>
    </w:tbl>
    <w:p>
      <w:r>
        <w:pict>
          <v:rect style="width:0;height:1.5pt" o:hralign="center" o:hrstd="t" o:hr="t"/>
        </w:pict>
      </w:r>
    </w:p>
    <w:bookmarkEnd w:id="229"/>
    <w:bookmarkStart w:id="230"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346"/>
        <w:gridCol w:w="2930"/>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 · ⏳ entrega formal a la docente</w:t>
            </w:r>
          </w:p>
        </w:tc>
      </w:tr>
    </w:tbl>
    <w:p>
      <w:pPr>
        <w:pStyle w:val="BlockText"/>
      </w:pPr>
      <w:r>
        <w:t xml:space="preserve">Las fechas exactas de entrega figuran en</w:t>
      </w:r>
      <w:r>
        <w:t xml:space="preserve"> </w:t>
      </w:r>
      <w:r>
        <w:rPr>
          <w:rStyle w:val="VerbatimChar"/>
        </w:rPr>
        <w:t xml:space="preserve">docs/datos-del-curso.md</w:t>
      </w:r>
      <w:r>
        <w:t xml:space="preserve"> </w:t>
      </w:r>
      <w:r>
        <w:t xml:space="preserve">y siguen marcadas «confirmar fecha con la docente».</w:t>
      </w:r>
    </w:p>
    <w:p>
      <w:r>
        <w:pict>
          <v:rect style="width:0;height:1.5pt" o:hralign="center" o:hrstd="t" o:hr="t"/>
        </w:pict>
      </w:r>
    </w:p>
    <w:bookmarkEnd w:id="230"/>
    <w:bookmarkStart w:id="234" w:name="X97195745177c874f01ad80e4dce35521f49f2f2"/>
    <w:p>
      <w:pPr>
        <w:pStyle w:val="Heading2"/>
      </w:pPr>
      <w:r>
        <w:t xml:space="preserve">Anexo F — Guía de lectura (evidencias, siglas y archivos)</w:t>
      </w:r>
    </w:p>
    <w:bookmarkStart w:id="231"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31"/>
    <w:bookmarkStart w:id="232"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32"/>
    <w:bookmarkStart w:id="233"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docs/reporte-docente-devcontainer.md</w:t>
            </w:r>
          </w:p>
        </w:tc>
        <w:tc>
          <w:tcPr/>
          <w:p>
            <w:pPr>
              <w:pStyle w:val="Compact"/>
              <w:jc w:val="left"/>
            </w:pPr>
            <w:r>
              <w:t xml:space="preserve">Reporte a la docente sobre el</w:t>
            </w:r>
            <w:r>
              <w:t xml:space="preserve"> </w:t>
            </w:r>
            <w:r>
              <w:rPr>
                <w:rStyle w:val="VerbatimChar"/>
              </w:rPr>
              <w:t xml:space="preserve">devcontainer.json</w:t>
            </w:r>
            <w:r>
              <w:t xml:space="preserve"> </w:t>
            </w:r>
            <w:r>
              <w:t xml:space="preserve">del zip oficial</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33"/>
    <w:bookmarkEnd w:id="234"/>
    <w:bookmarkStart w:id="235"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artefactos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35"/>
    <w:bookmarkStart w:id="236" w:name="anexo-h-nota-de-transparencia-ia"/>
    <w:p>
      <w:pPr>
        <w:pStyle w:val="Heading2"/>
      </w:pPr>
      <w:r>
        <w:t xml:space="preserve">Anexo H — Nota de transparencia IA</w:t>
      </w:r>
    </w:p>
    <w:p>
      <w:pPr>
        <w:pStyle w:val="FirstParagraph"/>
      </w:pPr>
      <w:r>
        <w:t xml:space="preserve">Este proyecto se desarrolló con asistencia de herramientas de IA: un asistente de codificación en el entorno OpenWork (estructura de la documentación, redacción inicial, figuras y remediación inicial del pipeline) y, en la revisión final,</w:t>
      </w:r>
      <w:r>
        <w:t xml:space="preserve"> </w:t>
      </w:r>
      <w:r>
        <w:rPr>
          <w:bCs/>
          <w:b/>
        </w:rPr>
        <w:t xml:space="preserve">Claude (Anthropic) con Claude Code</w:t>
      </w:r>
      <w:r>
        <w:t xml:space="preserve">, que auditó el repositorio contra la guía y la rúbrica, corrigió el código y los documentos (autenticación con Keycloak, límite de peticiones, OAEP-SHA256, bitácora, límite de entrada, tablas 3 a 6, plantilla de diagnóstico, secciones 13 a 21 de este informe) y ejecutó las pruebas. Cada cambio de código quedó en un commit con su propia ejecución del pipeline, y los resultados de las pruebas están en los archivos de evidencia, no solo en el texto.</w:t>
      </w:r>
      <w:r>
        <w:t xml:space="preserve"> </w:t>
      </w:r>
      <w:r>
        <w:rPr>
          <w:bCs/>
          <w:b/>
        </w:rPr>
        <w:t xml:space="preserve">Las decisiones de seguridad, la validación en el Codespace, las capturas de la app móvil y de la consola de Keycloak, la protección de la rama y la entrega a la docente son responsabilidad de los integrantes del equipo.</w:t>
      </w:r>
      <w:r>
        <w:t xml:space="preserve"> </w:t>
      </w:r>
      <w:r>
        <w:t xml:space="preserve">El código fuente base es el material oficial del curso.</w:t>
      </w:r>
    </w:p>
    <w:p>
      <w:r>
        <w:pict>
          <v:rect style="width:0;height:1.5pt" o:hralign="center" o:hrstd="t" o:hr="t"/>
        </w:pict>
      </w:r>
    </w:p>
    <w:bookmarkEnd w:id="236"/>
    <w:bookmarkStart w:id="237"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w:t>
            </w:r>
            <w:r>
              <w:t xml:space="preserve"> </w:t>
            </w:r>
            <w:r>
              <w:rPr>
                <w:iCs/>
                <w:i/>
              </w:rPr>
              <w:t xml:space="preserve">Artifacts</w:t>
            </w:r>
            <w:r>
              <w:t xml:space="preserve"> </w:t>
            </w:r>
            <w:r>
              <w:t xml:space="preserve">con 5 artefactos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37"/>
    <w:bookmarkStart w:id="238"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38"/>
    <w:bookmarkEnd w:id="2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jpg" /><Relationship Type="http://schemas.openxmlformats.org/officeDocument/2006/relationships/image" Id="rId72" Target="media/rId72.png" /><Relationship Type="http://schemas.openxmlformats.org/officeDocument/2006/relationships/image" Id="rId76" Target="media/rId76.jp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70" Target="media/rId170.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16" Target="media/rId116.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113" Target="media/rId113.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79" Target="plantilla-diagnostico.md" TargetMode="External" /><Relationship Type="http://schemas.openxmlformats.org/officeDocument/2006/relationships/hyperlink" Id="rId158"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4" Target="tablas/tabla-3-diagnostico.md" TargetMode="External" /><Relationship Type="http://schemas.openxmlformats.org/officeDocument/2006/relationships/hyperlink" Id="rId157" Target="tablas/tabla-4-evidencias.md" TargetMode="External" /><Relationship Type="http://schemas.openxmlformats.org/officeDocument/2006/relationships/hyperlink" Id="rId175" Target="tablas/tabla-5-riesgo.md" TargetMode="External" /><Relationship Type="http://schemas.openxmlformats.org/officeDocument/2006/relationships/hyperlink" Id="rId177"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79" Target="plantilla-diagnostico.md" TargetMode="External" /><Relationship Type="http://schemas.openxmlformats.org/officeDocument/2006/relationships/hyperlink" Id="rId158"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4" Target="tablas/tabla-3-diagnostico.md" TargetMode="External" /><Relationship Type="http://schemas.openxmlformats.org/officeDocument/2006/relationships/hyperlink" Id="rId157" Target="tablas/tabla-4-evidencias.md" TargetMode="External" /><Relationship Type="http://schemas.openxmlformats.org/officeDocument/2006/relationships/hyperlink" Id="rId175" Target="tablas/tabla-5-riesgo.md" TargetMode="External" /><Relationship Type="http://schemas.openxmlformats.org/officeDocument/2006/relationships/hyperlink" Id="rId177"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2026-09-19T18:41:41Z</dcterms:created>
  <dcterms:modified xsi:type="dcterms:W3CDTF">2026-09-19T18:41:41Z</dcterms:modified>
</cp:coreProperties>
</file>

<file path=docProps/custom.xml><?xml version="1.0" encoding="utf-8"?>
<Properties xmlns="http://schemas.openxmlformats.org/officeDocument/2006/custom-properties" xmlns:vt="http://schemas.openxmlformats.org/officeDocument/2006/docPropsVTypes"/>
</file>